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eastAsia="方正小标宋简体"/>
          <w:sz w:val="44"/>
          <w:szCs w:val="44"/>
        </w:rPr>
      </w:pPr>
      <w:r>
        <w:rPr>
          <w:rFonts w:eastAsia="方正小标宋简体"/>
          <w:sz w:val="44"/>
          <w:szCs w:val="44"/>
        </w:rPr>
        <w:t>碳青霉烯类抗生素耐药基因</w:t>
      </w:r>
      <w:r>
        <w:rPr>
          <w:rFonts w:eastAsia="仿宋_GB2312"/>
          <w:bCs/>
          <w:i/>
          <w:sz w:val="44"/>
          <w:szCs w:val="44"/>
        </w:rPr>
        <w:t>bla</w:t>
      </w:r>
      <w:r>
        <w:rPr>
          <w:rFonts w:eastAsia="仿宋_GB2312"/>
          <w:bCs/>
          <w:sz w:val="44"/>
          <w:szCs w:val="44"/>
          <w:vertAlign w:val="subscript"/>
        </w:rPr>
        <w:t>KPC</w:t>
      </w:r>
      <w:r>
        <w:rPr>
          <w:rFonts w:eastAsia="方正小标宋简体"/>
          <w:sz w:val="44"/>
          <w:szCs w:val="44"/>
        </w:rPr>
        <w:t>检测试剂</w:t>
      </w:r>
    </w:p>
    <w:p>
      <w:pPr>
        <w:spacing w:line="520" w:lineRule="exact"/>
        <w:jc w:val="center"/>
        <w:rPr>
          <w:rFonts w:eastAsia="方正小标宋简体"/>
          <w:sz w:val="44"/>
          <w:szCs w:val="44"/>
        </w:rPr>
      </w:pPr>
      <w:r>
        <w:rPr>
          <w:rFonts w:eastAsia="方正小标宋简体"/>
          <w:sz w:val="44"/>
          <w:szCs w:val="44"/>
        </w:rPr>
        <w:t>注册审查指导原则</w:t>
      </w:r>
    </w:p>
    <w:p>
      <w:pPr>
        <w:spacing w:line="520" w:lineRule="exact"/>
        <w:jc w:val="center"/>
        <w:rPr>
          <w:rFonts w:eastAsia="方正小标宋简体"/>
          <w:sz w:val="44"/>
          <w:szCs w:val="44"/>
        </w:rPr>
      </w:pPr>
    </w:p>
    <w:p>
      <w:pPr>
        <w:spacing w:line="520" w:lineRule="exact"/>
        <w:ind w:firstLine="640" w:firstLineChars="200"/>
        <w:contextualSpacing/>
        <w:rPr>
          <w:rFonts w:eastAsia="仿宋_GB2312"/>
          <w:sz w:val="32"/>
          <w:szCs w:val="32"/>
        </w:rPr>
      </w:pPr>
      <w:r>
        <w:rPr>
          <w:rFonts w:eastAsia="仿宋_GB2312"/>
          <w:sz w:val="32"/>
          <w:szCs w:val="32"/>
        </w:rPr>
        <w:t>本指导原则旨在指导注册申请人对碳青霉烯类抗生素耐药基因</w:t>
      </w:r>
      <w:r>
        <w:rPr>
          <w:rFonts w:eastAsia="仿宋_GB2312"/>
          <w:bCs/>
          <w:i/>
          <w:sz w:val="32"/>
          <w:szCs w:val="32"/>
        </w:rPr>
        <w:t>bla</w:t>
      </w:r>
      <w:r>
        <w:rPr>
          <w:rFonts w:eastAsia="仿宋_GB2312"/>
          <w:bCs/>
          <w:sz w:val="32"/>
          <w:szCs w:val="32"/>
          <w:vertAlign w:val="subscript"/>
        </w:rPr>
        <w:t>KPC</w:t>
      </w:r>
      <w:r>
        <w:rPr>
          <w:rFonts w:eastAsia="仿宋_GB2312"/>
          <w:sz w:val="32"/>
          <w:szCs w:val="32"/>
        </w:rPr>
        <w:t>（</w:t>
      </w:r>
      <w:r>
        <w:rPr>
          <w:rFonts w:eastAsia="仿宋_GB2312"/>
          <w:i/>
          <w:sz w:val="32"/>
          <w:szCs w:val="32"/>
        </w:rPr>
        <w:t>Klebsiella pneumoniae carbapenemases，</w:t>
      </w:r>
      <w:r>
        <w:rPr>
          <w:rFonts w:eastAsia="仿宋_GB2312"/>
          <w:sz w:val="32"/>
          <w:szCs w:val="32"/>
        </w:rPr>
        <w:t>肺炎克雷伯菌碳青霉烯酶）检测试剂注册申报资料的准备及撰写，同时也为技术审评部门提供参考。</w:t>
      </w:r>
    </w:p>
    <w:p>
      <w:pPr>
        <w:spacing w:line="520" w:lineRule="exact"/>
        <w:ind w:firstLine="640" w:firstLineChars="200"/>
        <w:contextualSpacing/>
        <w:rPr>
          <w:rFonts w:eastAsia="仿宋_GB2312"/>
          <w:sz w:val="32"/>
          <w:szCs w:val="32"/>
        </w:rPr>
      </w:pPr>
      <w:r>
        <w:rPr>
          <w:rFonts w:eastAsia="仿宋_GB2312"/>
          <w:sz w:val="32"/>
          <w:szCs w:val="32"/>
        </w:rPr>
        <w:t>本指导原则是对碳青霉烯类抗生素耐药基因</w:t>
      </w:r>
      <w:r>
        <w:rPr>
          <w:rFonts w:eastAsia="仿宋_GB2312"/>
          <w:bCs/>
          <w:i/>
          <w:sz w:val="32"/>
          <w:szCs w:val="32"/>
        </w:rPr>
        <w:t>bla</w:t>
      </w:r>
      <w:r>
        <w:rPr>
          <w:rFonts w:eastAsia="仿宋_GB2312"/>
          <w:bCs/>
          <w:sz w:val="32"/>
          <w:szCs w:val="32"/>
          <w:vertAlign w:val="subscript"/>
        </w:rPr>
        <w:t>KPC</w:t>
      </w:r>
      <w:r>
        <w:rPr>
          <w:rFonts w:eastAsia="仿宋_GB2312"/>
          <w:sz w:val="32"/>
          <w:szCs w:val="32"/>
        </w:rPr>
        <w:t>检测试剂的一般要求，注册申请人应依据产品的具体特性确定其中内容是否适用。若不适用，需具体阐述理由及相应的科学依据，并依据产品的具体特性对注册申报资料的内容进行充实和细化。</w:t>
      </w:r>
    </w:p>
    <w:p>
      <w:pPr>
        <w:spacing w:line="520" w:lineRule="exact"/>
        <w:ind w:firstLine="640" w:firstLineChars="200"/>
        <w:contextualSpacing/>
        <w:rPr>
          <w:rFonts w:eastAsia="仿宋_GB2312"/>
          <w:sz w:val="32"/>
          <w:szCs w:val="32"/>
        </w:rPr>
      </w:pPr>
      <w:r>
        <w:rPr>
          <w:rFonts w:eastAsia="仿宋_GB2312"/>
          <w:sz w:val="32"/>
          <w:szCs w:val="32"/>
        </w:rPr>
        <w:t>本指导原则是供注册申请人和技术审评人员使用的指导性文件，但不包括审评审批所涉及的行政事项，亦不作为法规强制执行，应在遵循相关法规的前提下使用本指导原则。如果有能够满足相关法规要求的其他方法，也可以采用，但是需要提供详细的研究和验证资料。</w:t>
      </w:r>
    </w:p>
    <w:p>
      <w:pPr>
        <w:spacing w:line="520" w:lineRule="exact"/>
        <w:ind w:firstLine="640" w:firstLineChars="200"/>
        <w:contextualSpacing/>
        <w:rPr>
          <w:rFonts w:eastAsia="仿宋_GB2312"/>
          <w:sz w:val="32"/>
          <w:szCs w:val="32"/>
        </w:rPr>
      </w:pPr>
      <w:r>
        <w:rPr>
          <w:rFonts w:eastAsia="仿宋_GB2312"/>
          <w:sz w:val="32"/>
          <w:szCs w:val="32"/>
        </w:rPr>
        <w:t>本指导原则是在现行法规和标准体系以及当前认知水平下制定，随着法规和标准的不断完善，以及科学技术的不断发展，相关内容也将适时进行调整。</w:t>
      </w:r>
    </w:p>
    <w:p>
      <w:pPr>
        <w:spacing w:line="520" w:lineRule="exact"/>
        <w:ind w:firstLine="640" w:firstLineChars="200"/>
        <w:rPr>
          <w:rFonts w:eastAsia="黑体"/>
          <w:sz w:val="32"/>
          <w:szCs w:val="32"/>
        </w:rPr>
      </w:pPr>
      <w:r>
        <w:rPr>
          <w:rFonts w:eastAsia="黑体"/>
          <w:sz w:val="32"/>
          <w:szCs w:val="32"/>
        </w:rPr>
        <w:t>一、适用范围</w:t>
      </w:r>
    </w:p>
    <w:p>
      <w:pPr>
        <w:spacing w:line="520" w:lineRule="exact"/>
        <w:ind w:firstLine="627" w:firstLineChars="196"/>
        <w:rPr>
          <w:rFonts w:eastAsia="仿宋_GB2312"/>
          <w:sz w:val="32"/>
          <w:szCs w:val="32"/>
        </w:rPr>
      </w:pPr>
      <w:r>
        <w:rPr>
          <w:rFonts w:eastAsia="仿宋_GB2312"/>
          <w:sz w:val="32"/>
          <w:szCs w:val="32"/>
        </w:rPr>
        <w:t>本指导原则适用于基于实时荧光PCR法等分子生物学技术，对人体痰液、直肠拭子、分离菌落样本中的碳青霉烯类抗生素耐药基因</w:t>
      </w:r>
      <w:r>
        <w:rPr>
          <w:rFonts w:eastAsia="仿宋_GB2312"/>
          <w:bCs/>
          <w:i/>
          <w:sz w:val="32"/>
          <w:szCs w:val="32"/>
        </w:rPr>
        <w:t>bla</w:t>
      </w:r>
      <w:r>
        <w:rPr>
          <w:rFonts w:eastAsia="仿宋_GB2312"/>
          <w:bCs/>
          <w:sz w:val="32"/>
          <w:szCs w:val="32"/>
          <w:vertAlign w:val="subscript"/>
        </w:rPr>
        <w:t>KPC</w:t>
      </w:r>
      <w:r>
        <w:rPr>
          <w:rFonts w:eastAsia="仿宋_GB2312"/>
          <w:sz w:val="32"/>
          <w:szCs w:val="32"/>
        </w:rPr>
        <w:t>进行体外定性检测的试剂。</w:t>
      </w:r>
    </w:p>
    <w:p>
      <w:pPr>
        <w:spacing w:line="520" w:lineRule="exact"/>
        <w:ind w:firstLine="627" w:firstLineChars="196"/>
        <w:rPr>
          <w:rFonts w:eastAsia="仿宋_GB2312"/>
          <w:sz w:val="32"/>
          <w:szCs w:val="32"/>
        </w:rPr>
        <w:sectPr>
          <w:footerReference r:id="rId3" w:type="default"/>
          <w:footerReference r:id="rId4" w:type="even"/>
          <w:pgSz w:w="11906" w:h="16838"/>
          <w:pgMar w:top="1701" w:right="1588" w:bottom="1701" w:left="1588" w:header="851" w:footer="992" w:gutter="0"/>
          <w:lnNumType w:countBy="1" w:restart="continuous"/>
          <w:pgNumType w:start="1"/>
          <w:cols w:space="425" w:num="1"/>
          <w:docGrid w:type="lines" w:linePitch="312" w:charSpace="0"/>
        </w:sectPr>
      </w:pPr>
      <w:r>
        <w:rPr>
          <w:rFonts w:eastAsia="仿宋_GB2312"/>
          <w:bCs/>
          <w:sz w:val="32"/>
          <w:szCs w:val="32"/>
        </w:rPr>
        <w:t>对于采用其他方法学、其他样本类型的</w:t>
      </w:r>
      <w:r>
        <w:rPr>
          <w:rFonts w:eastAsia="仿宋_GB2312"/>
          <w:sz w:val="32"/>
          <w:szCs w:val="32"/>
        </w:rPr>
        <w:t>碳青霉烯类抗生素</w:t>
      </w:r>
    </w:p>
    <w:p>
      <w:pPr>
        <w:spacing w:line="520" w:lineRule="exact"/>
        <w:rPr>
          <w:rFonts w:eastAsia="仿宋_GB2312"/>
          <w:bCs/>
          <w:sz w:val="32"/>
          <w:szCs w:val="32"/>
        </w:rPr>
      </w:pPr>
      <w:r>
        <w:rPr>
          <w:rFonts w:eastAsia="仿宋_GB2312"/>
          <w:sz w:val="32"/>
          <w:szCs w:val="32"/>
        </w:rPr>
        <w:t>耐药基因</w:t>
      </w:r>
      <w:r>
        <w:rPr>
          <w:rFonts w:eastAsia="仿宋_GB2312"/>
          <w:bCs/>
          <w:i/>
          <w:sz w:val="32"/>
          <w:szCs w:val="32"/>
        </w:rPr>
        <w:t>bla</w:t>
      </w:r>
      <w:r>
        <w:rPr>
          <w:rFonts w:eastAsia="仿宋_GB2312"/>
          <w:bCs/>
          <w:sz w:val="32"/>
          <w:szCs w:val="32"/>
          <w:vertAlign w:val="subscript"/>
        </w:rPr>
        <w:t>KPC</w:t>
      </w:r>
      <w:r>
        <w:rPr>
          <w:rFonts w:eastAsia="仿宋_GB2312"/>
          <w:bCs/>
          <w:sz w:val="32"/>
          <w:szCs w:val="32"/>
        </w:rPr>
        <w:t>检测试剂及其他碳青霉烯耐药基因检测试剂，可能部分要求不完全适用或本文所述内容不够全面，注册申请人应参照本指导原则，根据产品特性对适用部分进行评价，并补充其他评价。对于其他</w:t>
      </w:r>
      <w:r>
        <w:rPr>
          <w:rFonts w:eastAsia="仿宋_GB2312"/>
          <w:sz w:val="32"/>
          <w:szCs w:val="32"/>
        </w:rPr>
        <w:t>碳青霉烯类抗生素耐药基因检测试剂，可依据相关基因的具体特点参照执行。</w:t>
      </w:r>
    </w:p>
    <w:p>
      <w:pPr>
        <w:snapToGrid w:val="0"/>
        <w:spacing w:line="520" w:lineRule="exact"/>
        <w:ind w:firstLine="640" w:firstLineChars="200"/>
        <w:rPr>
          <w:rFonts w:eastAsia="仿宋_GB2312"/>
          <w:bCs/>
          <w:sz w:val="32"/>
          <w:szCs w:val="32"/>
        </w:rPr>
      </w:pPr>
      <w:r>
        <w:rPr>
          <w:rFonts w:eastAsia="仿宋_GB2312"/>
          <w:bCs/>
          <w:sz w:val="32"/>
          <w:szCs w:val="32"/>
        </w:rPr>
        <w:t>本指导原则适用于</w:t>
      </w:r>
      <w:r>
        <w:rPr>
          <w:rFonts w:eastAsia="仿宋_GB2312"/>
          <w:sz w:val="32"/>
          <w:szCs w:val="32"/>
        </w:rPr>
        <w:t>碳青霉烯类抗生素耐药基因</w:t>
      </w:r>
      <w:r>
        <w:rPr>
          <w:rFonts w:eastAsia="仿宋_GB2312"/>
          <w:bCs/>
          <w:i/>
          <w:sz w:val="32"/>
          <w:szCs w:val="32"/>
        </w:rPr>
        <w:t>bla</w:t>
      </w:r>
      <w:r>
        <w:rPr>
          <w:rFonts w:eastAsia="仿宋_GB2312"/>
          <w:bCs/>
          <w:sz w:val="32"/>
          <w:szCs w:val="32"/>
          <w:vertAlign w:val="subscript"/>
        </w:rPr>
        <w:t>KPC</w:t>
      </w:r>
      <w:r>
        <w:rPr>
          <w:rFonts w:eastAsia="仿宋_GB2312"/>
          <w:bCs/>
          <w:sz w:val="32"/>
          <w:szCs w:val="32"/>
        </w:rPr>
        <w:t>检测试剂进行产品注册和变更注册的情形。本指导原则针对注册申报资料中的部分内容进行撰写，其他未尽事宜应当符合《关于公布体外诊断试剂注册申报资料要求和批准证明文件格式的公告》等相关法规要求，</w:t>
      </w:r>
      <w:r>
        <w:rPr>
          <w:rFonts w:eastAsia="仿宋_GB2312"/>
          <w:kern w:val="0"/>
          <w:sz w:val="32"/>
          <w:szCs w:val="32"/>
        </w:rPr>
        <w:t>同时建议参考《定性检测试剂分析性能评估注册审查指导原则》等适用的技术文件要求。</w:t>
      </w:r>
    </w:p>
    <w:p>
      <w:pPr>
        <w:tabs>
          <w:tab w:val="left" w:pos="7140"/>
        </w:tabs>
        <w:autoSpaceDE w:val="0"/>
        <w:autoSpaceDN w:val="0"/>
        <w:spacing w:line="520" w:lineRule="exact"/>
        <w:ind w:firstLine="640" w:firstLineChars="200"/>
        <w:rPr>
          <w:rFonts w:eastAsia="黑体"/>
          <w:sz w:val="32"/>
          <w:szCs w:val="32"/>
        </w:rPr>
      </w:pPr>
      <w:r>
        <w:rPr>
          <w:rFonts w:eastAsia="黑体"/>
          <w:sz w:val="32"/>
          <w:szCs w:val="32"/>
        </w:rPr>
        <w:t>二、</w:t>
      </w:r>
      <w:bookmarkStart w:id="0" w:name="_Toc355613815"/>
      <w:r>
        <w:rPr>
          <w:rFonts w:eastAsia="黑体"/>
          <w:sz w:val="32"/>
          <w:szCs w:val="32"/>
        </w:rPr>
        <w:t>注册审查要点</w:t>
      </w:r>
    </w:p>
    <w:p>
      <w:pPr>
        <w:spacing w:line="520" w:lineRule="exact"/>
        <w:ind w:firstLine="640" w:firstLineChars="200"/>
        <w:rPr>
          <w:rFonts w:eastAsia="楷体_GB2312"/>
          <w:sz w:val="32"/>
          <w:szCs w:val="32"/>
        </w:rPr>
      </w:pPr>
      <w:r>
        <w:rPr>
          <w:rFonts w:eastAsia="楷体_GB2312"/>
          <w:sz w:val="32"/>
          <w:szCs w:val="32"/>
        </w:rPr>
        <w:t>（一）监管信息</w:t>
      </w:r>
    </w:p>
    <w:p>
      <w:pPr>
        <w:spacing w:line="520" w:lineRule="exact"/>
        <w:ind w:firstLine="627" w:firstLineChars="196"/>
        <w:rPr>
          <w:rFonts w:eastAsia="楷体_GB2312"/>
          <w:sz w:val="32"/>
          <w:szCs w:val="32"/>
        </w:rPr>
      </w:pPr>
      <w:r>
        <w:rPr>
          <w:rFonts w:eastAsia="楷体_GB2312"/>
          <w:sz w:val="32"/>
          <w:szCs w:val="32"/>
        </w:rPr>
        <w:t>1.产品名称</w:t>
      </w:r>
    </w:p>
    <w:p>
      <w:pPr>
        <w:spacing w:line="520" w:lineRule="exact"/>
        <w:ind w:firstLine="645"/>
        <w:contextualSpacing/>
        <w:jc w:val="left"/>
        <w:rPr>
          <w:rFonts w:eastAsia="仿宋_GB2312"/>
          <w:kern w:val="0"/>
          <w:sz w:val="32"/>
          <w:szCs w:val="32"/>
        </w:rPr>
      </w:pPr>
      <w:r>
        <w:rPr>
          <w:rFonts w:eastAsia="仿宋_GB2312"/>
          <w:kern w:val="0"/>
          <w:sz w:val="32"/>
          <w:szCs w:val="32"/>
        </w:rPr>
        <w:t>产品名称应符合《体外诊断试剂注册与备案管理办法》及相关法规的要求，如</w:t>
      </w:r>
      <w:r>
        <w:rPr>
          <w:rFonts w:eastAsia="仿宋_GB2312"/>
          <w:sz w:val="32"/>
          <w:szCs w:val="32"/>
        </w:rPr>
        <w:t>碳青霉烯类抗生素耐药基因</w:t>
      </w:r>
      <w:r>
        <w:rPr>
          <w:rFonts w:eastAsia="仿宋_GB2312"/>
          <w:bCs/>
          <w:i/>
          <w:sz w:val="32"/>
          <w:szCs w:val="32"/>
        </w:rPr>
        <w:t>bla</w:t>
      </w:r>
      <w:r>
        <w:rPr>
          <w:rFonts w:eastAsia="仿宋_GB2312"/>
          <w:bCs/>
          <w:sz w:val="32"/>
          <w:szCs w:val="32"/>
          <w:vertAlign w:val="subscript"/>
        </w:rPr>
        <w:t>KPC</w:t>
      </w:r>
      <w:r>
        <w:rPr>
          <w:rFonts w:eastAsia="仿宋_GB2312"/>
          <w:sz w:val="32"/>
          <w:szCs w:val="32"/>
        </w:rPr>
        <w:t>检测试剂盒（荧光PCR法）</w:t>
      </w:r>
      <w:r>
        <w:rPr>
          <w:rFonts w:eastAsia="仿宋_GB2312"/>
          <w:kern w:val="0"/>
          <w:sz w:val="32"/>
          <w:szCs w:val="32"/>
        </w:rPr>
        <w:t>。</w:t>
      </w:r>
    </w:p>
    <w:p>
      <w:pPr>
        <w:spacing w:line="520" w:lineRule="exact"/>
        <w:ind w:firstLine="627" w:firstLineChars="196"/>
        <w:rPr>
          <w:rFonts w:eastAsia="楷体_GB2312"/>
          <w:sz w:val="32"/>
          <w:szCs w:val="32"/>
        </w:rPr>
      </w:pPr>
      <w:r>
        <w:rPr>
          <w:rFonts w:eastAsia="楷体_GB2312"/>
          <w:sz w:val="32"/>
          <w:szCs w:val="32"/>
        </w:rPr>
        <w:t>2.分类编码</w:t>
      </w:r>
    </w:p>
    <w:p>
      <w:pPr>
        <w:spacing w:line="520" w:lineRule="exact"/>
        <w:ind w:firstLine="645"/>
        <w:contextualSpacing/>
        <w:jc w:val="left"/>
        <w:rPr>
          <w:rFonts w:eastAsia="仿宋_GB2312"/>
          <w:kern w:val="0"/>
          <w:sz w:val="32"/>
          <w:szCs w:val="32"/>
        </w:rPr>
      </w:pPr>
      <w:r>
        <w:rPr>
          <w:rFonts w:eastAsia="仿宋_GB2312"/>
          <w:kern w:val="0"/>
          <w:sz w:val="32"/>
          <w:szCs w:val="32"/>
        </w:rPr>
        <w:t>按照</w:t>
      </w:r>
      <w:r>
        <w:rPr>
          <w:rFonts w:eastAsia="仿宋_GB2312"/>
          <w:spacing w:val="-1"/>
          <w:sz w:val="32"/>
          <w:szCs w:val="32"/>
        </w:rPr>
        <w:t>《6840体外诊断试剂分类子目录》</w:t>
      </w:r>
      <w:r>
        <w:rPr>
          <w:rFonts w:eastAsia="仿宋_GB2312"/>
          <w:kern w:val="0"/>
          <w:sz w:val="32"/>
          <w:szCs w:val="32"/>
        </w:rPr>
        <w:t>《体外诊断试剂分类规则》，</w:t>
      </w:r>
      <w:r>
        <w:rPr>
          <w:rFonts w:eastAsia="仿宋_GB2312"/>
          <w:sz w:val="32"/>
          <w:szCs w:val="32"/>
        </w:rPr>
        <w:t>该产品按照第</w:t>
      </w:r>
      <w:r>
        <w:rPr>
          <w:rFonts w:hint="eastAsia" w:eastAsia="仿宋_GB2312"/>
          <w:spacing w:val="-1"/>
          <w:sz w:val="32"/>
          <w:szCs w:val="32"/>
        </w:rPr>
        <w:t>三</w:t>
      </w:r>
      <w:r>
        <w:rPr>
          <w:rFonts w:eastAsia="仿宋_GB2312"/>
          <w:sz w:val="32"/>
          <w:szCs w:val="32"/>
        </w:rPr>
        <w:t>类体外诊断试剂管理，分类编码为6840-01-01148。</w:t>
      </w:r>
    </w:p>
    <w:p>
      <w:pPr>
        <w:spacing w:line="520" w:lineRule="exact"/>
        <w:ind w:firstLine="627" w:firstLineChars="196"/>
        <w:rPr>
          <w:rFonts w:eastAsia="仿宋_GB2312"/>
          <w:sz w:val="32"/>
          <w:szCs w:val="32"/>
        </w:rPr>
      </w:pPr>
      <w:r>
        <w:rPr>
          <w:rFonts w:eastAsia="楷体_GB2312"/>
          <w:sz w:val="32"/>
          <w:szCs w:val="32"/>
        </w:rPr>
        <w:t>3.</w:t>
      </w:r>
      <w:r>
        <w:rPr>
          <w:rFonts w:eastAsia="仿宋_GB2312"/>
          <w:sz w:val="32"/>
          <w:szCs w:val="32"/>
        </w:rPr>
        <w:t>其他信息还包括产品列表、关联文件、申报前与监管机构的联系情况和沟通记录以及符合性声明等文件。</w:t>
      </w:r>
    </w:p>
    <w:p>
      <w:pPr>
        <w:spacing w:line="520" w:lineRule="exact"/>
        <w:ind w:firstLine="640" w:firstLineChars="200"/>
        <w:outlineLvl w:val="0"/>
        <w:rPr>
          <w:rFonts w:eastAsia="楷体_GB2312"/>
          <w:sz w:val="32"/>
          <w:szCs w:val="32"/>
        </w:rPr>
      </w:pPr>
      <w:r>
        <w:rPr>
          <w:rFonts w:eastAsia="楷体_GB2312"/>
          <w:kern w:val="0"/>
          <w:sz w:val="32"/>
          <w:szCs w:val="32"/>
        </w:rPr>
        <w:t>（二）综述资料</w:t>
      </w:r>
      <w:bookmarkEnd w:id="0"/>
    </w:p>
    <w:p>
      <w:pPr>
        <w:spacing w:line="520" w:lineRule="exact"/>
        <w:ind w:firstLine="636" w:firstLineChars="200"/>
        <w:rPr>
          <w:rFonts w:eastAsia="仿宋_GB2312"/>
          <w:sz w:val="32"/>
          <w:szCs w:val="32"/>
        </w:rPr>
      </w:pPr>
      <w:r>
        <w:rPr>
          <w:rFonts w:eastAsia="仿宋_GB2312"/>
          <w:spacing w:val="-1"/>
          <w:sz w:val="32"/>
          <w:szCs w:val="32"/>
        </w:rPr>
        <w:t>综述资料主要包括概述、产品描述、</w:t>
      </w:r>
      <w:r>
        <w:rPr>
          <w:rFonts w:eastAsia="仿宋_GB2312"/>
          <w:sz w:val="32"/>
          <w:szCs w:val="32"/>
        </w:rPr>
        <w:t>有关生物安全性的说明、</w:t>
      </w:r>
      <w:r>
        <w:rPr>
          <w:rFonts w:eastAsia="仿宋_GB2312"/>
          <w:spacing w:val="-1"/>
          <w:sz w:val="32"/>
          <w:szCs w:val="32"/>
        </w:rPr>
        <w:t>预期用途、申报产品上市历史及其他需说明的内容。</w:t>
      </w:r>
    </w:p>
    <w:p>
      <w:pPr>
        <w:spacing w:line="520" w:lineRule="exact"/>
        <w:ind w:firstLine="640" w:firstLineChars="200"/>
        <w:rPr>
          <w:rFonts w:eastAsia="仿宋_GB2312"/>
          <w:sz w:val="32"/>
          <w:szCs w:val="32"/>
        </w:rPr>
      </w:pPr>
      <w:r>
        <w:rPr>
          <w:rFonts w:eastAsia="仿宋_GB2312"/>
          <w:sz w:val="32"/>
          <w:szCs w:val="32"/>
        </w:rPr>
        <w:t>其中，需注意以下内容：</w:t>
      </w:r>
    </w:p>
    <w:p>
      <w:pPr>
        <w:spacing w:line="520" w:lineRule="exact"/>
        <w:ind w:firstLine="640" w:firstLineChars="200"/>
        <w:rPr>
          <w:rFonts w:eastAsia="仿宋_GB2312"/>
          <w:sz w:val="32"/>
        </w:rPr>
      </w:pPr>
      <w:r>
        <w:rPr>
          <w:rFonts w:eastAsia="仿宋_GB2312"/>
          <w:sz w:val="32"/>
        </w:rPr>
        <w:t>1.</w:t>
      </w:r>
      <w:r>
        <w:rPr>
          <w:rFonts w:eastAsia="仿宋_GB2312"/>
          <w:sz w:val="32"/>
          <w:szCs w:val="32"/>
        </w:rPr>
        <w:t>预期用途明确所检测的样本类型、靶基因、临床意义。</w:t>
      </w:r>
    </w:p>
    <w:p>
      <w:pPr>
        <w:spacing w:line="520" w:lineRule="exact"/>
        <w:ind w:firstLine="640" w:firstLineChars="200"/>
        <w:rPr>
          <w:rFonts w:eastAsia="仿宋_GB2312"/>
          <w:strike/>
          <w:sz w:val="32"/>
          <w:szCs w:val="32"/>
        </w:rPr>
      </w:pPr>
      <w:r>
        <w:rPr>
          <w:rFonts w:eastAsia="仿宋_GB2312"/>
          <w:sz w:val="32"/>
          <w:szCs w:val="32"/>
        </w:rPr>
        <w:t>2.产品描述应明确申报产品所检测基因的选择依据、基因靶序列的选择依据，产品所有可检出的</w:t>
      </w:r>
      <w:r>
        <w:rPr>
          <w:rFonts w:eastAsia="仿宋_GB2312"/>
          <w:bCs/>
          <w:i/>
          <w:sz w:val="32"/>
          <w:szCs w:val="32"/>
        </w:rPr>
        <w:t>bla</w:t>
      </w:r>
      <w:r>
        <w:rPr>
          <w:rFonts w:eastAsia="仿宋_GB2312"/>
          <w:bCs/>
          <w:sz w:val="32"/>
          <w:szCs w:val="32"/>
          <w:vertAlign w:val="subscript"/>
        </w:rPr>
        <w:t>KPC</w:t>
      </w:r>
      <w:r>
        <w:rPr>
          <w:rFonts w:eastAsia="仿宋_GB2312"/>
          <w:sz w:val="32"/>
          <w:szCs w:val="32"/>
        </w:rPr>
        <w:t>亚型、尚未验证的</w:t>
      </w:r>
      <w:r>
        <w:rPr>
          <w:rFonts w:eastAsia="仿宋_GB2312"/>
          <w:bCs/>
          <w:i/>
          <w:sz w:val="32"/>
          <w:szCs w:val="32"/>
        </w:rPr>
        <w:t>bla</w:t>
      </w:r>
      <w:r>
        <w:rPr>
          <w:rFonts w:eastAsia="仿宋_GB2312"/>
          <w:bCs/>
          <w:sz w:val="32"/>
          <w:szCs w:val="32"/>
          <w:vertAlign w:val="subscript"/>
        </w:rPr>
        <w:t>KPC</w:t>
      </w:r>
      <w:r>
        <w:rPr>
          <w:rFonts w:eastAsia="仿宋_GB2312"/>
          <w:sz w:val="32"/>
          <w:szCs w:val="32"/>
        </w:rPr>
        <w:t>亚型以及各基因亚型的选择依据（如临床意义、流行特征）。产品设计时建议根据相关共识、文献进行综合考虑，尽量包含已发布的主要基因亚型。</w:t>
      </w:r>
    </w:p>
    <w:p>
      <w:pPr>
        <w:spacing w:line="520" w:lineRule="exact"/>
        <w:ind w:firstLine="640" w:firstLineChars="200"/>
        <w:rPr>
          <w:rFonts w:eastAsia="仿宋_GB2312"/>
          <w:sz w:val="32"/>
        </w:rPr>
      </w:pPr>
      <w:r>
        <w:rPr>
          <w:rFonts w:eastAsia="仿宋_GB2312"/>
          <w:sz w:val="32"/>
        </w:rPr>
        <w:t>明确检测耐药基因的临床意义、所检测的耐药基因与相应抗生素的相关性、基因型与表型耐药的符合率、抗生素用药背景及中国人群数据等。</w:t>
      </w:r>
    </w:p>
    <w:p>
      <w:pPr>
        <w:tabs>
          <w:tab w:val="left" w:pos="6096"/>
        </w:tabs>
        <w:spacing w:line="520" w:lineRule="exact"/>
        <w:ind w:firstLine="640" w:firstLineChars="200"/>
        <w:rPr>
          <w:rFonts w:eastAsia="仿宋_GB2312"/>
          <w:sz w:val="32"/>
          <w:szCs w:val="32"/>
        </w:rPr>
      </w:pPr>
      <w:r>
        <w:rPr>
          <w:rFonts w:hint="eastAsia" w:eastAsia="仿宋_GB2312"/>
          <w:sz w:val="32"/>
          <w:szCs w:val="32"/>
        </w:rPr>
        <w:t>3.</w:t>
      </w:r>
      <w:r>
        <w:rPr>
          <w:rFonts w:eastAsia="仿宋_GB2312"/>
          <w:sz w:val="32"/>
          <w:szCs w:val="32"/>
        </w:rPr>
        <w:t>应详细说明产品所采用的技术原理及检测流程。提供不同适用机型的检测通量，即一次检测最多可检测的样本数。提供核酸提取（手工和自动提取方式应分别明确）和PCR扩增的时间，以及检测全过程所需的时间。不同检测流程，分别提供最少和最多检测样本量下的检测时间。</w:t>
      </w:r>
      <w:bookmarkStart w:id="1" w:name="_Hlk167613905"/>
    </w:p>
    <w:p>
      <w:pPr>
        <w:tabs>
          <w:tab w:val="left" w:pos="6096"/>
        </w:tabs>
        <w:spacing w:line="520" w:lineRule="exact"/>
        <w:ind w:firstLine="640" w:firstLineChars="200"/>
        <w:rPr>
          <w:rFonts w:eastAsia="仿宋_GB2312"/>
          <w:sz w:val="32"/>
        </w:rPr>
      </w:pPr>
      <w:r>
        <w:rPr>
          <w:rFonts w:eastAsia="仿宋_GB2312"/>
          <w:sz w:val="32"/>
          <w:szCs w:val="32"/>
        </w:rPr>
        <w:t>4.</w:t>
      </w:r>
      <w:r>
        <w:rPr>
          <w:rFonts w:eastAsia="仿宋_GB2312"/>
          <w:spacing w:val="-1"/>
          <w:sz w:val="32"/>
          <w:szCs w:val="32"/>
        </w:rPr>
        <w:t>与已上市同类产品进行比较</w:t>
      </w:r>
      <w:bookmarkEnd w:id="1"/>
      <w:r>
        <w:rPr>
          <w:rFonts w:eastAsia="仿宋_GB2312"/>
          <w:spacing w:val="-1"/>
          <w:sz w:val="32"/>
          <w:szCs w:val="32"/>
        </w:rPr>
        <w:t>，</w:t>
      </w:r>
      <w:r>
        <w:rPr>
          <w:rFonts w:eastAsia="仿宋_GB2312"/>
          <w:sz w:val="32"/>
          <w:szCs w:val="32"/>
        </w:rPr>
        <w:t>比较内容包括</w:t>
      </w:r>
      <w:r>
        <w:rPr>
          <w:rFonts w:eastAsia="仿宋_GB2312"/>
          <w:bCs/>
          <w:sz w:val="32"/>
          <w:szCs w:val="32"/>
        </w:rPr>
        <w:t>预期用途、适用人群、</w:t>
      </w:r>
      <w:r>
        <w:rPr>
          <w:rFonts w:eastAsia="仿宋_GB2312"/>
          <w:sz w:val="32"/>
          <w:szCs w:val="32"/>
        </w:rPr>
        <w:t>样本类型、检测原理、检测靶标、组成成分、内标、质控品、判读规则、分析性能和临床性能等。</w:t>
      </w:r>
      <w:r>
        <w:rPr>
          <w:rFonts w:eastAsia="仿宋_GB2312"/>
          <w:spacing w:val="-1"/>
          <w:sz w:val="32"/>
          <w:szCs w:val="32"/>
        </w:rPr>
        <w:t>应着重从检测靶标、</w:t>
      </w:r>
      <w:r>
        <w:rPr>
          <w:rFonts w:eastAsia="仿宋_GB2312"/>
          <w:sz w:val="32"/>
          <w:szCs w:val="32"/>
        </w:rPr>
        <w:t>所检菌株覆盖情况、基因亚型覆盖情况、</w:t>
      </w:r>
      <w:r>
        <w:rPr>
          <w:rFonts w:eastAsia="仿宋_GB2312"/>
          <w:spacing w:val="-1"/>
          <w:sz w:val="32"/>
          <w:szCs w:val="32"/>
        </w:rPr>
        <w:t>检出限等方面详细说明申报产品与目前市场上已获批同类产品之间的主要区别。</w:t>
      </w:r>
    </w:p>
    <w:p>
      <w:pPr>
        <w:spacing w:line="520" w:lineRule="exact"/>
        <w:ind w:left="640"/>
        <w:outlineLvl w:val="0"/>
        <w:rPr>
          <w:rFonts w:eastAsia="楷体_GB2312"/>
          <w:bCs/>
          <w:sz w:val="32"/>
          <w:szCs w:val="32"/>
        </w:rPr>
      </w:pPr>
      <w:r>
        <w:rPr>
          <w:rFonts w:eastAsia="楷体_GB2312"/>
          <w:bCs/>
          <w:kern w:val="0"/>
          <w:sz w:val="32"/>
          <w:szCs w:val="32"/>
        </w:rPr>
        <w:t>（三）</w:t>
      </w:r>
      <w:r>
        <w:rPr>
          <w:rFonts w:eastAsia="楷体_GB2312"/>
          <w:bCs/>
          <w:sz w:val="32"/>
          <w:szCs w:val="32"/>
        </w:rPr>
        <w:t>非临床资料</w:t>
      </w:r>
    </w:p>
    <w:p>
      <w:pPr>
        <w:adjustRightInd w:val="0"/>
        <w:snapToGrid w:val="0"/>
        <w:spacing w:line="520" w:lineRule="exact"/>
        <w:ind w:firstLine="640" w:firstLineChars="200"/>
        <w:rPr>
          <w:rFonts w:eastAsia="仿宋_GB2312"/>
          <w:bCs/>
          <w:sz w:val="32"/>
          <w:szCs w:val="32"/>
        </w:rPr>
      </w:pPr>
      <w:r>
        <w:rPr>
          <w:rFonts w:eastAsia="仿宋_GB2312"/>
          <w:bCs/>
          <w:sz w:val="32"/>
          <w:szCs w:val="32"/>
        </w:rPr>
        <w:t>1.产品技术要求及检验报告</w:t>
      </w:r>
    </w:p>
    <w:p>
      <w:pPr>
        <w:spacing w:line="520" w:lineRule="exact"/>
        <w:ind w:firstLine="640" w:firstLineChars="200"/>
        <w:rPr>
          <w:rFonts w:eastAsia="楷体_GB2312"/>
          <w:sz w:val="32"/>
          <w:szCs w:val="32"/>
        </w:rPr>
      </w:pPr>
      <w:r>
        <w:rPr>
          <w:rFonts w:eastAsia="楷体_GB2312"/>
          <w:sz w:val="32"/>
          <w:szCs w:val="32"/>
        </w:rPr>
        <w:t>1.1产品技术要求</w:t>
      </w:r>
    </w:p>
    <w:p>
      <w:pPr>
        <w:spacing w:line="520" w:lineRule="exact"/>
        <w:ind w:firstLine="636" w:firstLineChars="200"/>
        <w:rPr>
          <w:rFonts w:eastAsia="仿宋_GB2312"/>
          <w:spacing w:val="-1"/>
          <w:sz w:val="32"/>
          <w:szCs w:val="32"/>
        </w:rPr>
      </w:pPr>
      <w:r>
        <w:rPr>
          <w:rFonts w:eastAsia="仿宋_GB2312"/>
          <w:spacing w:val="-1"/>
          <w:sz w:val="32"/>
          <w:szCs w:val="32"/>
        </w:rPr>
        <w:t>注册申请人应当在原材料质量和生产工艺稳定的前提下，根据产品研制、前期评价等结果，依据国家标准、行业标准及有关文献资料，结合产品特性按照《医疗器械产品技术要求编写指导原则》的要求编写。该类产品作为第三类体外诊断试剂，应当以附录形式明确主要原材料以及生产工艺要求。</w:t>
      </w:r>
    </w:p>
    <w:p>
      <w:pPr>
        <w:spacing w:line="520" w:lineRule="exact"/>
        <w:ind w:firstLine="640" w:firstLineChars="200"/>
        <w:rPr>
          <w:rFonts w:eastAsia="仿宋_GB2312"/>
          <w:sz w:val="32"/>
          <w:szCs w:val="32"/>
        </w:rPr>
      </w:pPr>
      <w:r>
        <w:rPr>
          <w:rFonts w:eastAsia="仿宋_GB2312"/>
          <w:sz w:val="32"/>
          <w:szCs w:val="32"/>
        </w:rPr>
        <w:t>碳青霉烯类抗生素耐药基因</w:t>
      </w:r>
      <w:r>
        <w:rPr>
          <w:rFonts w:eastAsia="仿宋_GB2312"/>
          <w:bCs/>
          <w:i/>
          <w:sz w:val="32"/>
          <w:szCs w:val="32"/>
        </w:rPr>
        <w:t>bla</w:t>
      </w:r>
      <w:r>
        <w:rPr>
          <w:rFonts w:eastAsia="仿宋_GB2312"/>
          <w:bCs/>
          <w:sz w:val="32"/>
          <w:szCs w:val="32"/>
          <w:vertAlign w:val="subscript"/>
        </w:rPr>
        <w:t>KPC</w:t>
      </w:r>
      <w:r>
        <w:rPr>
          <w:rFonts w:eastAsia="仿宋_GB2312"/>
          <w:sz w:val="32"/>
          <w:szCs w:val="32"/>
        </w:rPr>
        <w:t>检测试剂已有国家标准品，技术要求中应体现国家标准品的相关要求。</w:t>
      </w:r>
    </w:p>
    <w:p>
      <w:pPr>
        <w:spacing w:line="520" w:lineRule="exact"/>
        <w:ind w:firstLine="640" w:firstLineChars="200"/>
        <w:rPr>
          <w:rFonts w:eastAsia="仿宋_GB2312"/>
          <w:sz w:val="32"/>
          <w:szCs w:val="32"/>
        </w:rPr>
      </w:pPr>
      <w:r>
        <w:rPr>
          <w:rFonts w:eastAsia="仿宋_GB2312"/>
          <w:sz w:val="32"/>
          <w:szCs w:val="32"/>
        </w:rPr>
        <w:t>如有适用的国家标准、行业标准，产品技术要求的相关要求应不低于相应的要求。</w:t>
      </w:r>
    </w:p>
    <w:p>
      <w:pPr>
        <w:spacing w:line="520" w:lineRule="exact"/>
        <w:ind w:firstLine="640" w:firstLineChars="200"/>
        <w:rPr>
          <w:rFonts w:eastAsia="楷体_GB2312"/>
          <w:sz w:val="32"/>
          <w:szCs w:val="32"/>
        </w:rPr>
      </w:pPr>
      <w:r>
        <w:rPr>
          <w:rFonts w:eastAsia="楷体_GB2312"/>
          <w:sz w:val="32"/>
          <w:szCs w:val="32"/>
        </w:rPr>
        <w:t>1.2检验报告</w:t>
      </w:r>
    </w:p>
    <w:p>
      <w:pPr>
        <w:spacing w:line="520" w:lineRule="exact"/>
        <w:ind w:firstLine="640" w:firstLineChars="200"/>
        <w:rPr>
          <w:rFonts w:eastAsia="仿宋_GB2312"/>
          <w:spacing w:val="-1"/>
          <w:sz w:val="32"/>
          <w:szCs w:val="32"/>
        </w:rPr>
      </w:pPr>
      <w:r>
        <w:rPr>
          <w:rFonts w:eastAsia="仿宋_GB2312"/>
          <w:sz w:val="32"/>
          <w:szCs w:val="32"/>
        </w:rPr>
        <w:t>碳青霉烯类抗生素耐药基因</w:t>
      </w:r>
      <w:r>
        <w:rPr>
          <w:rFonts w:eastAsia="仿宋_GB2312"/>
          <w:bCs/>
          <w:i/>
          <w:sz w:val="32"/>
          <w:szCs w:val="32"/>
        </w:rPr>
        <w:t>bla</w:t>
      </w:r>
      <w:r>
        <w:rPr>
          <w:rFonts w:eastAsia="仿宋_GB2312"/>
          <w:bCs/>
          <w:sz w:val="32"/>
          <w:szCs w:val="32"/>
          <w:vertAlign w:val="subscript"/>
        </w:rPr>
        <w:t>KPC</w:t>
      </w:r>
      <w:r>
        <w:rPr>
          <w:rFonts w:eastAsia="仿宋_GB2312"/>
          <w:sz w:val="32"/>
          <w:szCs w:val="32"/>
        </w:rPr>
        <w:t>检测试剂已有国家标准品</w:t>
      </w:r>
      <w:r>
        <w:rPr>
          <w:rFonts w:eastAsia="仿宋_GB2312"/>
          <w:spacing w:val="-1"/>
          <w:sz w:val="32"/>
          <w:szCs w:val="32"/>
        </w:rPr>
        <w:t>，应使用国家标准品进行检验。</w:t>
      </w:r>
    </w:p>
    <w:p>
      <w:pPr>
        <w:spacing w:line="520" w:lineRule="exact"/>
        <w:ind w:firstLine="636" w:firstLineChars="200"/>
        <w:rPr>
          <w:rFonts w:eastAsia="仿宋_GB2312"/>
          <w:sz w:val="32"/>
          <w:szCs w:val="32"/>
        </w:rPr>
      </w:pPr>
      <w:r>
        <w:rPr>
          <w:rFonts w:eastAsia="仿宋_GB2312"/>
          <w:spacing w:val="-1"/>
          <w:sz w:val="32"/>
          <w:szCs w:val="32"/>
        </w:rPr>
        <w:t>第三类体外诊断试剂应当提供三个不同生产批次产品的检验报告。</w:t>
      </w:r>
    </w:p>
    <w:p>
      <w:pPr>
        <w:spacing w:line="520" w:lineRule="exact"/>
        <w:ind w:firstLine="640" w:firstLineChars="200"/>
        <w:jc w:val="left"/>
        <w:rPr>
          <w:rFonts w:eastAsia="仿宋_GB2312"/>
          <w:sz w:val="32"/>
          <w:szCs w:val="32"/>
        </w:rPr>
      </w:pPr>
      <w:r>
        <w:rPr>
          <w:rFonts w:eastAsia="仿宋_GB2312"/>
          <w:sz w:val="32"/>
          <w:szCs w:val="32"/>
        </w:rPr>
        <w:t>提交资料应符合《体外诊断试剂注册申报资料要求及说明》《医疗器械注册自检管理规定》等相关文件的要求。</w:t>
      </w:r>
    </w:p>
    <w:p>
      <w:pPr>
        <w:adjustRightInd w:val="0"/>
        <w:snapToGrid w:val="0"/>
        <w:spacing w:line="520" w:lineRule="exact"/>
        <w:ind w:firstLine="640" w:firstLineChars="200"/>
        <w:rPr>
          <w:rFonts w:eastAsia="仿宋_GB2312"/>
          <w:sz w:val="32"/>
          <w:szCs w:val="32"/>
        </w:rPr>
      </w:pPr>
      <w:r>
        <w:rPr>
          <w:rFonts w:eastAsia="仿宋_GB2312"/>
          <w:sz w:val="32"/>
          <w:szCs w:val="32"/>
        </w:rPr>
        <w:t>2.分析性能研究</w:t>
      </w:r>
    </w:p>
    <w:p>
      <w:pPr>
        <w:spacing w:line="520" w:lineRule="exact"/>
        <w:ind w:firstLine="640" w:firstLineChars="200"/>
        <w:rPr>
          <w:rFonts w:eastAsia="仿宋_GB2312"/>
          <w:sz w:val="32"/>
          <w:szCs w:val="32"/>
        </w:rPr>
      </w:pPr>
      <w:r>
        <w:rPr>
          <w:rFonts w:eastAsia="仿宋_GB2312"/>
          <w:sz w:val="32"/>
          <w:szCs w:val="32"/>
        </w:rPr>
        <w:t>注册申请人应采用在符合质量管理体系的环境下生产的试剂进行所有分析性能研究，提交具体研究方法、试验方案、可接受标准、试验数据、统计分析等详细资料。</w:t>
      </w:r>
      <w:bookmarkStart w:id="2" w:name="_Hlk120510247"/>
      <w:r>
        <w:rPr>
          <w:rFonts w:eastAsia="仿宋_GB2312"/>
          <w:kern w:val="0"/>
          <w:sz w:val="32"/>
          <w:szCs w:val="32"/>
        </w:rPr>
        <w:t>提交分析性能研究的背景信息，包括</w:t>
      </w:r>
      <w:r>
        <w:rPr>
          <w:rFonts w:eastAsia="仿宋_GB2312"/>
          <w:sz w:val="32"/>
          <w:szCs w:val="32"/>
        </w:rPr>
        <w:t>试验地点、采用的试剂名称、规格和批号，仪器名称和型号，样本相关信息等。</w:t>
      </w:r>
      <w:bookmarkEnd w:id="2"/>
      <w:r>
        <w:rPr>
          <w:rFonts w:eastAsia="仿宋_GB2312"/>
          <w:sz w:val="32"/>
          <w:szCs w:val="32"/>
        </w:rPr>
        <w:t>样本相关信息包括样本来源、样本类型、采集和处理方式、稀释方式、定值过程及定值结果、菌株编号及其</w:t>
      </w:r>
      <w:r>
        <w:rPr>
          <w:rFonts w:eastAsia="仿宋_GB2312"/>
          <w:bCs/>
          <w:i/>
          <w:sz w:val="32"/>
          <w:szCs w:val="32"/>
        </w:rPr>
        <w:t>bla</w:t>
      </w:r>
      <w:r>
        <w:rPr>
          <w:rFonts w:eastAsia="仿宋_GB2312"/>
          <w:bCs/>
          <w:sz w:val="32"/>
          <w:szCs w:val="32"/>
          <w:vertAlign w:val="subscript"/>
        </w:rPr>
        <w:t>KPC</w:t>
      </w:r>
      <w:r>
        <w:rPr>
          <w:rFonts w:eastAsia="仿宋_GB2312"/>
          <w:sz w:val="32"/>
          <w:szCs w:val="32"/>
        </w:rPr>
        <w:t>亚型相关信息等。</w:t>
      </w:r>
    </w:p>
    <w:p>
      <w:pPr>
        <w:spacing w:line="520" w:lineRule="exact"/>
        <w:ind w:firstLine="640" w:firstLineChars="200"/>
        <w:rPr>
          <w:rFonts w:eastAsia="仿宋_GB2312"/>
          <w:sz w:val="32"/>
          <w:szCs w:val="32"/>
        </w:rPr>
      </w:pPr>
      <w:r>
        <w:rPr>
          <w:rFonts w:eastAsia="仿宋_GB2312"/>
          <w:sz w:val="32"/>
          <w:szCs w:val="32"/>
        </w:rPr>
        <w:t>针对研究中采用的碳青霉烯类抗生素</w:t>
      </w:r>
      <w:r>
        <w:rPr>
          <w:rFonts w:eastAsia="仿宋_GB2312"/>
          <w:bCs/>
          <w:i/>
          <w:sz w:val="32"/>
          <w:szCs w:val="32"/>
        </w:rPr>
        <w:t>bla</w:t>
      </w:r>
      <w:r>
        <w:rPr>
          <w:rFonts w:eastAsia="仿宋_GB2312"/>
          <w:bCs/>
          <w:sz w:val="32"/>
          <w:szCs w:val="32"/>
          <w:vertAlign w:val="subscript"/>
        </w:rPr>
        <w:t>KPC</w:t>
      </w:r>
      <w:r>
        <w:rPr>
          <w:rFonts w:eastAsia="仿宋_GB2312"/>
          <w:sz w:val="32"/>
          <w:szCs w:val="32"/>
        </w:rPr>
        <w:t>耐药基因样本，应采用科学合理的方法（如Sanger测序、已上市同类产品检测等）进行阴阳性的确认，采用科学合理的方法（如数字PCR、标准曲线法（通过标准物质或构建质粒绘制标准曲线）等）进行样本浓度的确认。</w:t>
      </w:r>
    </w:p>
    <w:p>
      <w:pPr>
        <w:adjustRightInd w:val="0"/>
        <w:snapToGrid w:val="0"/>
        <w:spacing w:line="520" w:lineRule="exact"/>
        <w:ind w:firstLine="640" w:firstLineChars="200"/>
        <w:rPr>
          <w:rFonts w:eastAsia="仿宋_GB2312"/>
          <w:sz w:val="32"/>
          <w:szCs w:val="32"/>
        </w:rPr>
      </w:pPr>
      <w:r>
        <w:rPr>
          <w:rFonts w:eastAsia="仿宋_GB2312"/>
          <w:sz w:val="32"/>
          <w:szCs w:val="32"/>
        </w:rPr>
        <w:t>分析性能评估用样本可采用灭活临床样本、灭活培养菌株加至阴性临床样本基质，应采用合理方法进行阴性基质的确认。</w:t>
      </w:r>
      <w:r>
        <w:rPr>
          <w:rFonts w:hint="eastAsia" w:eastAsia="仿宋_GB2312"/>
          <w:sz w:val="32"/>
          <w:szCs w:val="32"/>
        </w:rPr>
        <w:t>此处阴性基质是指不含</w:t>
      </w:r>
      <w:r>
        <w:rPr>
          <w:rFonts w:hint="eastAsia" w:eastAsia="仿宋_GB2312"/>
          <w:i/>
          <w:sz w:val="32"/>
          <w:szCs w:val="32"/>
        </w:rPr>
        <w:t>bla</w:t>
      </w:r>
      <w:r>
        <w:rPr>
          <w:rFonts w:hint="eastAsia" w:eastAsia="仿宋_GB2312"/>
          <w:sz w:val="32"/>
          <w:szCs w:val="32"/>
          <w:vertAlign w:val="subscript"/>
        </w:rPr>
        <w:t>KPC</w:t>
      </w:r>
      <w:r>
        <w:rPr>
          <w:rFonts w:hint="eastAsia" w:eastAsia="仿宋_GB2312"/>
          <w:sz w:val="32"/>
          <w:szCs w:val="32"/>
        </w:rPr>
        <w:t>基因的临床样本。</w:t>
      </w:r>
      <w:r>
        <w:rPr>
          <w:rFonts w:eastAsia="仿宋_GB2312"/>
          <w:sz w:val="32"/>
          <w:szCs w:val="32"/>
        </w:rPr>
        <w:t>不建议采用质粒等进行分析性能评估。如涉及稀释后检测，应采用与适用样本类型一致的阴性基质进行稀释。</w:t>
      </w:r>
    </w:p>
    <w:p>
      <w:pPr>
        <w:adjustRightInd w:val="0"/>
        <w:snapToGrid w:val="0"/>
        <w:spacing w:line="520" w:lineRule="exact"/>
        <w:ind w:firstLine="640" w:firstLineChars="200"/>
        <w:rPr>
          <w:rFonts w:eastAsia="仿宋_GB2312"/>
          <w:sz w:val="32"/>
          <w:szCs w:val="32"/>
        </w:rPr>
      </w:pPr>
      <w:r>
        <w:rPr>
          <w:rFonts w:eastAsia="仿宋_GB2312"/>
          <w:sz w:val="32"/>
          <w:szCs w:val="32"/>
        </w:rPr>
        <w:t>对于分离菌落，应按照产品说明书要求进行样本的采集、处理及检测</w:t>
      </w:r>
      <w:r>
        <w:rPr>
          <w:rFonts w:hint="eastAsia" w:eastAsia="仿宋_GB2312"/>
          <w:sz w:val="32"/>
          <w:szCs w:val="32"/>
        </w:rPr>
        <w:t>。</w:t>
      </w:r>
    </w:p>
    <w:p>
      <w:pPr>
        <w:pStyle w:val="18"/>
        <w:spacing w:line="520" w:lineRule="exact"/>
        <w:ind w:firstLine="640"/>
        <w:rPr>
          <w:rFonts w:eastAsia="仿宋_GB2312"/>
          <w:sz w:val="32"/>
          <w:szCs w:val="32"/>
        </w:rPr>
      </w:pPr>
      <w:r>
        <w:rPr>
          <w:rFonts w:eastAsia="仿宋_GB2312"/>
          <w:sz w:val="32"/>
          <w:szCs w:val="32"/>
        </w:rPr>
        <w:t>如申报产品适用不同的机型，需要提交采用不同机型进行性能评估的资料。</w:t>
      </w:r>
    </w:p>
    <w:p>
      <w:pPr>
        <w:pStyle w:val="18"/>
        <w:spacing w:line="520" w:lineRule="exact"/>
        <w:ind w:firstLine="640"/>
        <w:rPr>
          <w:rFonts w:eastAsia="仿宋_GB2312"/>
          <w:sz w:val="32"/>
          <w:szCs w:val="32"/>
        </w:rPr>
      </w:pPr>
      <w:r>
        <w:rPr>
          <w:rFonts w:eastAsia="仿宋_GB2312"/>
          <w:sz w:val="32"/>
          <w:szCs w:val="32"/>
        </w:rPr>
        <w:t>如申报产品包含不同的包装规格，需要对各包装规格进行分析或验证。</w:t>
      </w:r>
    </w:p>
    <w:p>
      <w:pPr>
        <w:snapToGrid w:val="0"/>
        <w:spacing w:line="520" w:lineRule="exact"/>
        <w:ind w:firstLine="640" w:firstLineChars="200"/>
        <w:rPr>
          <w:rFonts w:eastAsia="仿宋_GB2312"/>
          <w:sz w:val="32"/>
          <w:szCs w:val="32"/>
        </w:rPr>
      </w:pPr>
      <w:r>
        <w:rPr>
          <w:rFonts w:eastAsia="仿宋_GB2312"/>
          <w:sz w:val="32"/>
          <w:szCs w:val="32"/>
        </w:rPr>
        <w:t>如申报产品适用不同的样本类型，需要分别进行分析性能研究。</w:t>
      </w:r>
    </w:p>
    <w:p>
      <w:pPr>
        <w:pStyle w:val="18"/>
        <w:spacing w:line="520" w:lineRule="exact"/>
        <w:ind w:firstLine="640"/>
        <w:rPr>
          <w:rFonts w:eastAsia="仿宋_GB2312"/>
          <w:sz w:val="32"/>
          <w:szCs w:val="32"/>
        </w:rPr>
      </w:pPr>
      <w:r>
        <w:rPr>
          <w:rFonts w:eastAsia="仿宋_GB2312"/>
          <w:sz w:val="32"/>
          <w:szCs w:val="32"/>
        </w:rPr>
        <w:t>2.1样本稳定性</w:t>
      </w:r>
    </w:p>
    <w:p>
      <w:pPr>
        <w:spacing w:line="520" w:lineRule="exact"/>
        <w:ind w:firstLine="640" w:firstLineChars="200"/>
        <w:rPr>
          <w:rFonts w:eastAsia="仿宋_GB2312"/>
          <w:sz w:val="32"/>
          <w:szCs w:val="32"/>
        </w:rPr>
      </w:pPr>
      <w:r>
        <w:rPr>
          <w:rFonts w:eastAsia="仿宋_GB2312"/>
          <w:sz w:val="32"/>
          <w:szCs w:val="32"/>
        </w:rPr>
        <w:t>应对样本稳定性进行研究，包括不同的样本采集处理方法，采集后未经处理的样本，加入不同裂解液/消化液/保存液进行处理的样本（如适用），研究内容包括室温保存、冷藏和冷冻保存条件及时间（如适用）。适于冷冻保存的样本还应对冻融次数进行评价。</w:t>
      </w:r>
    </w:p>
    <w:p>
      <w:pPr>
        <w:snapToGrid w:val="0"/>
        <w:spacing w:line="520" w:lineRule="exact"/>
        <w:ind w:firstLine="640" w:firstLineChars="200"/>
        <w:rPr>
          <w:rFonts w:eastAsia="仿宋_GB2312"/>
          <w:sz w:val="32"/>
          <w:szCs w:val="32"/>
        </w:rPr>
      </w:pPr>
      <w:r>
        <w:rPr>
          <w:rFonts w:eastAsia="仿宋_GB2312"/>
          <w:sz w:val="32"/>
          <w:szCs w:val="32"/>
        </w:rPr>
        <w:t>如产品适用不同的样本类型，应对每种样本类型进行稳定性研究。</w:t>
      </w:r>
    </w:p>
    <w:p>
      <w:pPr>
        <w:snapToGrid w:val="0"/>
        <w:spacing w:line="520" w:lineRule="exact"/>
        <w:ind w:firstLine="640" w:firstLineChars="200"/>
        <w:rPr>
          <w:rFonts w:eastAsia="仿宋_GB2312"/>
          <w:sz w:val="32"/>
          <w:szCs w:val="32"/>
        </w:rPr>
      </w:pPr>
      <w:r>
        <w:rPr>
          <w:rFonts w:eastAsia="仿宋_GB2312"/>
          <w:sz w:val="32"/>
          <w:szCs w:val="32"/>
        </w:rPr>
        <w:t>如核酸提取液可不立即进行检测，还需对核酸提取液的保存条件和保存时间进行研究。</w:t>
      </w:r>
    </w:p>
    <w:p>
      <w:pPr>
        <w:adjustRightInd w:val="0"/>
        <w:snapToGrid w:val="0"/>
        <w:spacing w:line="520" w:lineRule="exact"/>
        <w:ind w:firstLine="640" w:firstLineChars="200"/>
        <w:rPr>
          <w:rFonts w:eastAsia="仿宋_GB2312"/>
          <w:sz w:val="32"/>
          <w:szCs w:val="32"/>
        </w:rPr>
      </w:pPr>
      <w:r>
        <w:rPr>
          <w:rFonts w:eastAsia="仿宋_GB2312"/>
          <w:sz w:val="32"/>
          <w:szCs w:val="32"/>
        </w:rPr>
        <w:t>2.2适用的样本类型</w:t>
      </w:r>
    </w:p>
    <w:p>
      <w:pPr>
        <w:adjustRightInd w:val="0"/>
        <w:snapToGrid w:val="0"/>
        <w:spacing w:line="520" w:lineRule="exact"/>
        <w:ind w:firstLine="640" w:firstLineChars="200"/>
        <w:rPr>
          <w:rFonts w:eastAsia="仿宋_GB2312"/>
          <w:strike/>
          <w:sz w:val="32"/>
          <w:szCs w:val="32"/>
        </w:rPr>
      </w:pPr>
      <w:r>
        <w:rPr>
          <w:rFonts w:eastAsia="仿宋_GB2312"/>
          <w:sz w:val="32"/>
          <w:szCs w:val="32"/>
        </w:rPr>
        <w:t>列明产品适用的样本类型。</w:t>
      </w:r>
    </w:p>
    <w:p>
      <w:pPr>
        <w:snapToGrid w:val="0"/>
        <w:spacing w:line="520" w:lineRule="exact"/>
        <w:ind w:firstLine="640" w:firstLineChars="200"/>
        <w:rPr>
          <w:rFonts w:eastAsia="仿宋_GB2312"/>
          <w:sz w:val="32"/>
          <w:szCs w:val="32"/>
        </w:rPr>
      </w:pPr>
      <w:r>
        <w:rPr>
          <w:rFonts w:eastAsia="仿宋_GB2312"/>
          <w:sz w:val="32"/>
          <w:szCs w:val="32"/>
        </w:rPr>
        <w:t>2.3准确度</w:t>
      </w:r>
    </w:p>
    <w:p>
      <w:pPr>
        <w:spacing w:line="520" w:lineRule="exact"/>
        <w:ind w:firstLine="640" w:firstLineChars="200"/>
        <w:rPr>
          <w:rFonts w:eastAsia="仿宋_GB2312"/>
          <w:sz w:val="32"/>
          <w:szCs w:val="32"/>
        </w:rPr>
      </w:pPr>
      <w:r>
        <w:rPr>
          <w:rFonts w:eastAsia="仿宋_GB2312"/>
          <w:sz w:val="32"/>
          <w:szCs w:val="32"/>
        </w:rPr>
        <w:t>2.3.1方法学比对</w:t>
      </w:r>
    </w:p>
    <w:p>
      <w:pPr>
        <w:spacing w:line="520" w:lineRule="exact"/>
        <w:ind w:firstLine="640" w:firstLineChars="200"/>
        <w:rPr>
          <w:rFonts w:eastAsia="仿宋_GB2312"/>
          <w:sz w:val="32"/>
          <w:szCs w:val="32"/>
        </w:rPr>
      </w:pPr>
      <w:r>
        <w:rPr>
          <w:rFonts w:eastAsia="仿宋_GB2312"/>
          <w:sz w:val="32"/>
          <w:szCs w:val="32"/>
        </w:rPr>
        <w:t>采用申报试剂与诊断准确度标准或已上市核酸检测产品同时检测临床样本，比较检测结果之间的一致性程度，进行申报试剂的准确度评价。所选对比试剂的检测靶基因应与申报试剂一致，方法性能可比，且临床公认质量较好。对于无已上市核酸检测试剂的靶基因，可与Sanger测序进行比对。用于核酸序列测定的引物序列应不同于申报试剂中用于检测靶基因的引物序列。研究应纳入一定数量的阴性和阳性样本，纳入检测范围内的国内常见基因亚型（至少包含</w:t>
      </w:r>
      <w:r>
        <w:rPr>
          <w:rFonts w:eastAsia="仿宋_GB2312"/>
          <w:i/>
          <w:sz w:val="32"/>
          <w:szCs w:val="32"/>
        </w:rPr>
        <w:t>bla</w:t>
      </w:r>
      <w:r>
        <w:rPr>
          <w:rFonts w:eastAsia="仿宋_GB2312"/>
          <w:sz w:val="32"/>
          <w:szCs w:val="32"/>
          <w:vertAlign w:val="subscript"/>
        </w:rPr>
        <w:t>KPC-2</w:t>
      </w:r>
      <w:r>
        <w:rPr>
          <w:rFonts w:eastAsia="仿宋_GB2312"/>
          <w:sz w:val="32"/>
          <w:szCs w:val="32"/>
        </w:rPr>
        <w:t>及1种其他亚型），并注意包含一定数量阳性判断值附近的样本和干扰样本。</w:t>
      </w:r>
    </w:p>
    <w:p>
      <w:pPr>
        <w:snapToGrid w:val="0"/>
        <w:spacing w:line="520" w:lineRule="exact"/>
        <w:ind w:firstLine="640" w:firstLineChars="200"/>
        <w:rPr>
          <w:rFonts w:eastAsia="仿宋_GB2312"/>
          <w:sz w:val="32"/>
          <w:szCs w:val="32"/>
        </w:rPr>
      </w:pPr>
      <w:r>
        <w:rPr>
          <w:rFonts w:eastAsia="仿宋_GB2312"/>
          <w:sz w:val="32"/>
          <w:szCs w:val="32"/>
        </w:rPr>
        <w:t>2.3.2阴阳性参考品符合率</w:t>
      </w:r>
    </w:p>
    <w:p>
      <w:pPr>
        <w:spacing w:line="520" w:lineRule="exact"/>
        <w:ind w:firstLine="640" w:firstLineChars="200"/>
        <w:rPr>
          <w:rFonts w:eastAsia="仿宋_GB2312"/>
          <w:sz w:val="32"/>
          <w:szCs w:val="32"/>
        </w:rPr>
      </w:pPr>
      <w:r>
        <w:rPr>
          <w:rFonts w:eastAsia="仿宋_GB2312"/>
          <w:sz w:val="32"/>
          <w:szCs w:val="32"/>
        </w:rPr>
        <w:t>根据主要原材料研究资料中的企业参考品设置情况，采用至少三批产品对企业阴阳性参考品进行检测并提供详细的试验数据。</w:t>
      </w:r>
    </w:p>
    <w:p>
      <w:pPr>
        <w:spacing w:line="520" w:lineRule="exact"/>
        <w:ind w:firstLine="640" w:firstLineChars="200"/>
        <w:rPr>
          <w:rFonts w:eastAsia="仿宋_GB2312"/>
          <w:sz w:val="32"/>
          <w:szCs w:val="32"/>
        </w:rPr>
      </w:pPr>
      <w:r>
        <w:rPr>
          <w:rFonts w:eastAsia="仿宋_GB2312"/>
          <w:sz w:val="32"/>
          <w:szCs w:val="32"/>
        </w:rPr>
        <w:t>2.4精密度</w:t>
      </w:r>
    </w:p>
    <w:p>
      <w:pPr>
        <w:spacing w:line="520" w:lineRule="exact"/>
        <w:ind w:firstLine="640" w:firstLineChars="200"/>
        <w:rPr>
          <w:rFonts w:eastAsia="仿宋_GB2312"/>
          <w:spacing w:val="2"/>
          <w:sz w:val="32"/>
          <w:szCs w:val="32"/>
        </w:rPr>
      </w:pPr>
      <w:r>
        <w:rPr>
          <w:rFonts w:eastAsia="仿宋_GB2312"/>
          <w:sz w:val="32"/>
          <w:szCs w:val="32"/>
        </w:rPr>
        <w:t>应对精密度指标，如标准差或变异系数等的评价标准做出合理要求。应考虑运行、时间、操作者、仪器、试剂批次和地点等影响精密度的条件，设计合理的精密度试验方案进行评价。精密度评价试验应包含核酸提取纯化步骤。设定合理的精密度评价周期，例如为期至少20天的检测。对检测数据进行统计分析，获得重复性、中间精密度、再现性等结果。</w:t>
      </w:r>
    </w:p>
    <w:p>
      <w:pPr>
        <w:spacing w:line="520" w:lineRule="exact"/>
        <w:ind w:firstLine="640" w:firstLineChars="200"/>
        <w:rPr>
          <w:rFonts w:eastAsia="仿宋_GB2312"/>
          <w:sz w:val="32"/>
          <w:szCs w:val="32"/>
        </w:rPr>
      </w:pPr>
      <w:r>
        <w:rPr>
          <w:rFonts w:eastAsia="仿宋_GB2312"/>
          <w:sz w:val="32"/>
          <w:szCs w:val="32"/>
        </w:rPr>
        <w:t>应针对检测范围内的所有常见亚型（至少包含</w:t>
      </w:r>
      <w:r>
        <w:rPr>
          <w:rFonts w:eastAsia="仿宋_GB2312"/>
          <w:i/>
          <w:sz w:val="32"/>
          <w:szCs w:val="32"/>
        </w:rPr>
        <w:t>bla</w:t>
      </w:r>
      <w:r>
        <w:rPr>
          <w:rFonts w:eastAsia="仿宋_GB2312"/>
          <w:iCs/>
          <w:sz w:val="32"/>
          <w:szCs w:val="32"/>
          <w:vertAlign w:val="subscript"/>
        </w:rPr>
        <w:t>KPC-2</w:t>
      </w:r>
      <w:r>
        <w:rPr>
          <w:rFonts w:eastAsia="仿宋_GB2312"/>
          <w:sz w:val="32"/>
          <w:szCs w:val="32"/>
        </w:rPr>
        <w:t>及1种其他亚型）进行精密度研究。</w:t>
      </w:r>
    </w:p>
    <w:p>
      <w:pPr>
        <w:spacing w:line="520" w:lineRule="exact"/>
        <w:ind w:firstLine="640" w:firstLineChars="200"/>
        <w:rPr>
          <w:rFonts w:eastAsia="仿宋_GB2312"/>
          <w:sz w:val="32"/>
          <w:szCs w:val="32"/>
        </w:rPr>
      </w:pPr>
      <w:r>
        <w:rPr>
          <w:rFonts w:eastAsia="仿宋_GB2312"/>
          <w:sz w:val="32"/>
          <w:szCs w:val="32"/>
        </w:rPr>
        <w:t>可采用灭活临床样本、灭活培养菌株加至阴性临床样本基质进行精密度评价，应至少包含3个水平：阴性样本、临界阳性样本、中/强阳性样本，并根据产品特性设定适当的精密度要求，例如：</w:t>
      </w:r>
    </w:p>
    <w:p>
      <w:pPr>
        <w:spacing w:line="520" w:lineRule="exact"/>
        <w:ind w:firstLine="640" w:firstLineChars="200"/>
        <w:rPr>
          <w:rFonts w:eastAsia="仿宋_GB2312"/>
          <w:sz w:val="32"/>
          <w:szCs w:val="32"/>
        </w:rPr>
      </w:pPr>
      <w:r>
        <w:rPr>
          <w:rFonts w:eastAsia="仿宋_GB2312"/>
          <w:sz w:val="32"/>
          <w:szCs w:val="32"/>
        </w:rPr>
        <w:t>阴性样本：不含</w:t>
      </w:r>
      <w:r>
        <w:rPr>
          <w:rFonts w:eastAsia="仿宋_GB2312"/>
          <w:i/>
          <w:sz w:val="32"/>
          <w:szCs w:val="32"/>
        </w:rPr>
        <w:t>bla</w:t>
      </w:r>
      <w:r>
        <w:rPr>
          <w:rFonts w:eastAsia="仿宋_GB2312"/>
          <w:iCs/>
          <w:sz w:val="32"/>
          <w:szCs w:val="32"/>
          <w:vertAlign w:val="subscript"/>
        </w:rPr>
        <w:t>KPC</w:t>
      </w:r>
      <w:r>
        <w:rPr>
          <w:rFonts w:eastAsia="仿宋_GB2312"/>
          <w:sz w:val="32"/>
          <w:szCs w:val="32"/>
        </w:rPr>
        <w:t>的样本，其检测为阴性的比率应为100%（n≥20）。</w:t>
      </w:r>
    </w:p>
    <w:p>
      <w:pPr>
        <w:spacing w:line="520" w:lineRule="exact"/>
        <w:ind w:firstLine="640" w:firstLineChars="200"/>
        <w:rPr>
          <w:rFonts w:eastAsia="仿宋_GB2312"/>
          <w:sz w:val="32"/>
          <w:szCs w:val="32"/>
        </w:rPr>
      </w:pPr>
      <w:r>
        <w:rPr>
          <w:rFonts w:eastAsia="仿宋_GB2312"/>
          <w:sz w:val="32"/>
          <w:szCs w:val="32"/>
        </w:rPr>
        <w:t>临界阳性样本：</w:t>
      </w:r>
      <w:r>
        <w:rPr>
          <w:rFonts w:eastAsia="仿宋_GB2312"/>
          <w:i/>
          <w:sz w:val="32"/>
          <w:szCs w:val="32"/>
        </w:rPr>
        <w:t>bla</w:t>
      </w:r>
      <w:r>
        <w:rPr>
          <w:rFonts w:eastAsia="仿宋_GB2312"/>
          <w:iCs/>
          <w:sz w:val="32"/>
          <w:szCs w:val="32"/>
          <w:vertAlign w:val="subscript"/>
        </w:rPr>
        <w:t>KPC</w:t>
      </w:r>
      <w:r>
        <w:rPr>
          <w:rFonts w:eastAsia="仿宋_GB2312"/>
          <w:sz w:val="32"/>
          <w:szCs w:val="32"/>
        </w:rPr>
        <w:t>浓度略高于试剂的检出限，阳性检出率应高于95%（n≥20）。</w:t>
      </w:r>
    </w:p>
    <w:p>
      <w:pPr>
        <w:spacing w:line="520" w:lineRule="exact"/>
        <w:ind w:firstLine="640" w:firstLineChars="200"/>
        <w:rPr>
          <w:rFonts w:eastAsia="仿宋_GB2312"/>
          <w:sz w:val="32"/>
          <w:szCs w:val="32"/>
        </w:rPr>
      </w:pPr>
      <w:r>
        <w:rPr>
          <w:rFonts w:eastAsia="仿宋_GB2312"/>
          <w:sz w:val="32"/>
          <w:szCs w:val="32"/>
        </w:rPr>
        <w:t>中/强阳性样本：</w:t>
      </w:r>
      <w:r>
        <w:rPr>
          <w:rFonts w:eastAsia="仿宋_GB2312"/>
          <w:i/>
          <w:sz w:val="32"/>
          <w:szCs w:val="32"/>
        </w:rPr>
        <w:t>bla</w:t>
      </w:r>
      <w:r>
        <w:rPr>
          <w:rFonts w:eastAsia="仿宋_GB2312"/>
          <w:iCs/>
          <w:sz w:val="32"/>
          <w:szCs w:val="32"/>
          <w:vertAlign w:val="subscript"/>
        </w:rPr>
        <w:t>KPC</w:t>
      </w:r>
      <w:r>
        <w:rPr>
          <w:rFonts w:eastAsia="仿宋_GB2312"/>
          <w:sz w:val="32"/>
          <w:szCs w:val="32"/>
        </w:rPr>
        <w:t>浓度呈中度至强阳性，阳性检出率为100%且CV≤5%（n≥20）。</w:t>
      </w:r>
    </w:p>
    <w:p>
      <w:pPr>
        <w:spacing w:line="520" w:lineRule="exact"/>
        <w:ind w:firstLine="640" w:firstLineChars="200"/>
        <w:rPr>
          <w:rFonts w:eastAsia="仿宋_GB2312"/>
          <w:sz w:val="32"/>
          <w:szCs w:val="32"/>
        </w:rPr>
      </w:pPr>
      <w:r>
        <w:rPr>
          <w:rFonts w:eastAsia="仿宋_GB2312"/>
          <w:sz w:val="32"/>
          <w:szCs w:val="32"/>
        </w:rPr>
        <w:t>2.5检出限</w:t>
      </w:r>
    </w:p>
    <w:p>
      <w:pPr>
        <w:spacing w:line="520" w:lineRule="exact"/>
        <w:ind w:firstLine="640" w:firstLineChars="200"/>
        <w:rPr>
          <w:rFonts w:eastAsia="仿宋_GB2312"/>
          <w:sz w:val="32"/>
          <w:szCs w:val="32"/>
        </w:rPr>
      </w:pPr>
      <w:r>
        <w:rPr>
          <w:rFonts w:eastAsia="仿宋_GB2312"/>
          <w:sz w:val="32"/>
          <w:szCs w:val="32"/>
        </w:rPr>
        <w:t>使用临床样本或临床分离菌株/标准菌株，采用与适用样本类型一致的阴性基质进行系列稀释，进行检出限建立与验证研究。</w:t>
      </w:r>
    </w:p>
    <w:p>
      <w:pPr>
        <w:spacing w:line="520" w:lineRule="exact"/>
        <w:ind w:firstLine="640" w:firstLineChars="200"/>
        <w:rPr>
          <w:rFonts w:eastAsia="仿宋_GB2312"/>
          <w:sz w:val="32"/>
          <w:szCs w:val="32"/>
        </w:rPr>
      </w:pPr>
      <w:r>
        <w:rPr>
          <w:rFonts w:eastAsia="仿宋_GB2312"/>
          <w:sz w:val="32"/>
          <w:szCs w:val="32"/>
        </w:rPr>
        <w:t>如样本类型为痰液，建议使用模拟基质进行稀释，如可使用含生理盐水、</w:t>
      </w:r>
      <w:r>
        <w:rPr>
          <w:rFonts w:hint="eastAsia" w:eastAsia="仿宋_GB2312"/>
          <w:sz w:val="32"/>
          <w:szCs w:val="32"/>
        </w:rPr>
        <w:t>黏</w:t>
      </w:r>
      <w:r>
        <w:rPr>
          <w:rFonts w:eastAsia="仿宋_GB2312"/>
          <w:sz w:val="32"/>
          <w:szCs w:val="32"/>
        </w:rPr>
        <w:t>蛋白及人类基因组DNA的基质作为痰液样本替代基质。如样本类型为直肠拭子，建议使用阴性样本拭子采集液作为阴性基质。如样本类型为分离菌落，建议使用标准方法进行菌株的混悬、稀释和定值。无论使用何种模拟或替代基质，应进行基质比对性试验证明替代基质与临床实际样本的等效性。</w:t>
      </w:r>
    </w:p>
    <w:p>
      <w:pPr>
        <w:spacing w:line="520" w:lineRule="exact"/>
        <w:ind w:firstLine="640" w:firstLineChars="200"/>
        <w:rPr>
          <w:rFonts w:eastAsia="仿宋_GB2312"/>
          <w:sz w:val="32"/>
          <w:szCs w:val="32"/>
        </w:rPr>
      </w:pPr>
      <w:r>
        <w:rPr>
          <w:rFonts w:eastAsia="仿宋_GB2312"/>
          <w:sz w:val="32"/>
          <w:szCs w:val="32"/>
        </w:rPr>
        <w:t>应明确每份样本/菌株的来源、阴阳性及确认方式、浓度及确认方式、制备方法等信息。可采用数字PCR、标准曲线等方法进行样本/菌株核酸浓度的确认，以copies/mL为检测单位</w:t>
      </w:r>
      <w:r>
        <w:rPr>
          <w:rFonts w:hint="eastAsia" w:eastAsia="仿宋_GB2312"/>
          <w:sz w:val="32"/>
          <w:szCs w:val="32"/>
        </w:rPr>
        <w:t>，若以CFU/mL作为菌浓度单位，提供CFU/mL和copies/mL的换算关系。</w:t>
      </w:r>
    </w:p>
    <w:p>
      <w:pPr>
        <w:spacing w:line="520" w:lineRule="exact"/>
        <w:ind w:firstLine="640" w:firstLineChars="200"/>
        <w:rPr>
          <w:rFonts w:eastAsia="仿宋_GB2312"/>
          <w:strike/>
          <w:sz w:val="32"/>
          <w:szCs w:val="32"/>
        </w:rPr>
      </w:pPr>
      <w:r>
        <w:rPr>
          <w:rFonts w:eastAsia="仿宋_GB2312"/>
          <w:sz w:val="32"/>
          <w:szCs w:val="32"/>
        </w:rPr>
        <w:t>所选样本/菌株应纳入检测范围内的国内常见基因亚型（至少包含</w:t>
      </w:r>
      <w:r>
        <w:rPr>
          <w:rFonts w:eastAsia="仿宋_GB2312"/>
          <w:i/>
          <w:sz w:val="32"/>
          <w:szCs w:val="32"/>
        </w:rPr>
        <w:t>bla</w:t>
      </w:r>
      <w:r>
        <w:rPr>
          <w:rFonts w:eastAsia="仿宋_GB2312"/>
          <w:sz w:val="32"/>
          <w:szCs w:val="32"/>
          <w:vertAlign w:val="subscript"/>
        </w:rPr>
        <w:t>KPC-2</w:t>
      </w:r>
      <w:r>
        <w:rPr>
          <w:rFonts w:eastAsia="仿宋_GB2312"/>
          <w:sz w:val="32"/>
          <w:szCs w:val="32"/>
        </w:rPr>
        <w:t>及1种其他亚型）。</w:t>
      </w:r>
    </w:p>
    <w:p>
      <w:pPr>
        <w:spacing w:line="520" w:lineRule="exact"/>
        <w:ind w:firstLine="640" w:firstLineChars="200"/>
        <w:rPr>
          <w:rFonts w:eastAsia="仿宋_GB2312"/>
          <w:sz w:val="32"/>
          <w:szCs w:val="32"/>
        </w:rPr>
      </w:pPr>
      <w:r>
        <w:rPr>
          <w:rFonts w:eastAsia="仿宋_GB2312"/>
          <w:sz w:val="32"/>
          <w:szCs w:val="32"/>
        </w:rPr>
        <w:t>2.5.1检出限的建立</w:t>
      </w:r>
    </w:p>
    <w:p>
      <w:pPr>
        <w:spacing w:line="520" w:lineRule="exact"/>
        <w:ind w:firstLine="640" w:firstLineChars="200"/>
        <w:rPr>
          <w:rFonts w:eastAsia="仿宋_GB2312"/>
          <w:sz w:val="32"/>
          <w:szCs w:val="32"/>
        </w:rPr>
      </w:pPr>
      <w:r>
        <w:rPr>
          <w:rFonts w:eastAsia="仿宋_GB2312"/>
          <w:sz w:val="32"/>
          <w:szCs w:val="32"/>
        </w:rPr>
        <w:t>采用不同来源的至少5个</w:t>
      </w:r>
      <w:r>
        <w:rPr>
          <w:rFonts w:eastAsia="仿宋_GB2312"/>
          <w:bCs/>
          <w:i/>
          <w:sz w:val="32"/>
          <w:szCs w:val="32"/>
        </w:rPr>
        <w:t>bla</w:t>
      </w:r>
      <w:r>
        <w:rPr>
          <w:rFonts w:eastAsia="仿宋_GB2312"/>
          <w:bCs/>
          <w:sz w:val="32"/>
          <w:szCs w:val="32"/>
          <w:vertAlign w:val="subscript"/>
        </w:rPr>
        <w:t>KPC</w:t>
      </w:r>
      <w:r>
        <w:rPr>
          <w:rFonts w:eastAsia="仿宋_GB2312"/>
          <w:sz w:val="32"/>
          <w:szCs w:val="32"/>
        </w:rPr>
        <w:t>阳性样本，稀释至多个浓度梯度进行检测，每个浓度至少重复20次检测，将具有95%阳性检出率的最低浓度水平作为确定的检出限。</w:t>
      </w:r>
    </w:p>
    <w:p>
      <w:pPr>
        <w:snapToGrid w:val="0"/>
        <w:spacing w:line="520" w:lineRule="exact"/>
        <w:ind w:firstLine="640" w:firstLineChars="200"/>
        <w:rPr>
          <w:rFonts w:eastAsia="仿宋_GB2312"/>
          <w:sz w:val="32"/>
          <w:szCs w:val="32"/>
        </w:rPr>
      </w:pPr>
      <w:r>
        <w:rPr>
          <w:rFonts w:eastAsia="仿宋_GB2312"/>
          <w:sz w:val="32"/>
          <w:szCs w:val="32"/>
        </w:rPr>
        <w:t>2.5.2检出限的验证</w:t>
      </w:r>
    </w:p>
    <w:p>
      <w:pPr>
        <w:snapToGrid w:val="0"/>
        <w:spacing w:line="520" w:lineRule="exact"/>
        <w:ind w:firstLine="640" w:firstLineChars="200"/>
        <w:rPr>
          <w:rFonts w:eastAsia="仿宋_GB2312"/>
          <w:sz w:val="32"/>
          <w:szCs w:val="32"/>
        </w:rPr>
      </w:pPr>
      <w:r>
        <w:rPr>
          <w:rFonts w:eastAsia="仿宋_GB2312"/>
          <w:sz w:val="32"/>
          <w:szCs w:val="32"/>
        </w:rPr>
        <w:t>选择另外5个不同来源的</w:t>
      </w:r>
      <w:r>
        <w:rPr>
          <w:rFonts w:eastAsia="仿宋_GB2312"/>
          <w:bCs/>
          <w:i/>
          <w:sz w:val="32"/>
          <w:szCs w:val="32"/>
        </w:rPr>
        <w:t>bla</w:t>
      </w:r>
      <w:r>
        <w:rPr>
          <w:rFonts w:eastAsia="仿宋_GB2312"/>
          <w:bCs/>
          <w:sz w:val="32"/>
          <w:szCs w:val="32"/>
          <w:vertAlign w:val="subscript"/>
        </w:rPr>
        <w:t>KPC</w:t>
      </w:r>
      <w:r>
        <w:rPr>
          <w:rFonts w:eastAsia="仿宋_GB2312"/>
          <w:sz w:val="32"/>
          <w:szCs w:val="32"/>
        </w:rPr>
        <w:t>阳性样本，在检出限浓度水平进行验证，每个浓度至少重复20次检测，应达到95%阳性检出率。</w:t>
      </w:r>
    </w:p>
    <w:p>
      <w:pPr>
        <w:spacing w:line="520" w:lineRule="exact"/>
        <w:ind w:firstLine="640" w:firstLineChars="200"/>
        <w:rPr>
          <w:rFonts w:eastAsia="仿宋_GB2312"/>
          <w:sz w:val="32"/>
          <w:szCs w:val="32"/>
        </w:rPr>
      </w:pPr>
      <w:r>
        <w:rPr>
          <w:rFonts w:eastAsia="仿宋_GB2312"/>
          <w:sz w:val="32"/>
          <w:szCs w:val="32"/>
        </w:rPr>
        <w:t>2.6包容性</w:t>
      </w:r>
    </w:p>
    <w:p>
      <w:pPr>
        <w:spacing w:line="520" w:lineRule="exact"/>
        <w:ind w:firstLine="640" w:firstLineChars="200"/>
        <w:rPr>
          <w:rFonts w:eastAsia="仿宋_GB2312"/>
          <w:sz w:val="32"/>
          <w:szCs w:val="32"/>
        </w:rPr>
      </w:pPr>
      <w:r>
        <w:rPr>
          <w:rFonts w:eastAsia="仿宋_GB2312"/>
          <w:sz w:val="32"/>
          <w:szCs w:val="32"/>
        </w:rPr>
        <w:t>包容性研究包括检出限和重复性验证。包容性研究样本和检出限研究样本应相互独立，不可重复使用。</w:t>
      </w:r>
    </w:p>
    <w:p>
      <w:pPr>
        <w:spacing w:line="520" w:lineRule="exact"/>
        <w:ind w:firstLine="640" w:firstLineChars="200"/>
        <w:rPr>
          <w:rFonts w:eastAsia="仿宋_GB2312"/>
          <w:sz w:val="32"/>
          <w:szCs w:val="32"/>
        </w:rPr>
      </w:pPr>
      <w:r>
        <w:rPr>
          <w:rFonts w:eastAsia="仿宋_GB2312"/>
          <w:sz w:val="32"/>
          <w:szCs w:val="32"/>
        </w:rPr>
        <w:t>针对痰液样本及直肠拭子样本，选择具有区域特征性的不同来源的临床样本或培养菌株进行研究。建议检索近年国内相关文献报道并收集各地区来源的不同菌株，研究应包含可检出的常见肠杆菌目耐药微生物（如肺炎克雷伯菌、大肠埃希菌、肠杆菌属、沙门杆菌属），还应包含一部分鲍曼不动杆菌、铜绿假单胞菌。</w:t>
      </w:r>
    </w:p>
    <w:p>
      <w:pPr>
        <w:spacing w:line="520" w:lineRule="exact"/>
        <w:ind w:firstLine="640" w:firstLineChars="200"/>
        <w:rPr>
          <w:rFonts w:eastAsia="仿宋_GB2312"/>
          <w:sz w:val="32"/>
          <w:szCs w:val="32"/>
        </w:rPr>
      </w:pPr>
      <w:r>
        <w:rPr>
          <w:rFonts w:eastAsia="仿宋_GB2312"/>
          <w:sz w:val="32"/>
          <w:szCs w:val="32"/>
        </w:rPr>
        <w:t>纳入检测范围内的</w:t>
      </w:r>
      <w:r>
        <w:rPr>
          <w:rFonts w:hint="eastAsia" w:eastAsia="仿宋_GB2312"/>
          <w:sz w:val="32"/>
          <w:szCs w:val="32"/>
        </w:rPr>
        <w:t>国内</w:t>
      </w:r>
      <w:r>
        <w:rPr>
          <w:rFonts w:eastAsia="仿宋_GB2312"/>
          <w:sz w:val="32"/>
          <w:szCs w:val="32"/>
        </w:rPr>
        <w:t>常见基因亚型</w:t>
      </w:r>
      <w:r>
        <w:rPr>
          <w:rFonts w:hint="eastAsia" w:eastAsia="仿宋_GB2312"/>
          <w:sz w:val="32"/>
          <w:szCs w:val="32"/>
        </w:rPr>
        <w:t>及</w:t>
      </w:r>
      <w:r>
        <w:rPr>
          <w:rFonts w:eastAsia="仿宋_GB2312"/>
          <w:sz w:val="32"/>
          <w:szCs w:val="32"/>
        </w:rPr>
        <w:t>已有明确报道且影响用药方案的</w:t>
      </w:r>
      <w:r>
        <w:rPr>
          <w:rFonts w:eastAsia="仿宋_GB2312"/>
          <w:i/>
          <w:sz w:val="32"/>
          <w:szCs w:val="32"/>
        </w:rPr>
        <w:t>bla</w:t>
      </w:r>
      <w:r>
        <w:rPr>
          <w:rFonts w:eastAsia="仿宋_GB2312"/>
          <w:sz w:val="32"/>
          <w:szCs w:val="32"/>
          <w:vertAlign w:val="subscript"/>
        </w:rPr>
        <w:t>KPC</w:t>
      </w:r>
      <w:r>
        <w:rPr>
          <w:rFonts w:eastAsia="仿宋_GB2312"/>
          <w:sz w:val="32"/>
          <w:szCs w:val="32"/>
        </w:rPr>
        <w:t>亚型的研究资料（至少包含</w:t>
      </w:r>
      <w:r>
        <w:rPr>
          <w:rFonts w:eastAsia="仿宋_GB2312"/>
          <w:i/>
          <w:sz w:val="32"/>
          <w:szCs w:val="32"/>
        </w:rPr>
        <w:t>bla</w:t>
      </w:r>
      <w:r>
        <w:rPr>
          <w:rFonts w:eastAsia="仿宋_GB2312"/>
          <w:sz w:val="32"/>
          <w:szCs w:val="32"/>
          <w:vertAlign w:val="subscript"/>
        </w:rPr>
        <w:t>KPC-2</w:t>
      </w:r>
      <w:r>
        <w:rPr>
          <w:rFonts w:hint="eastAsia" w:eastAsia="仿宋_GB2312"/>
          <w:sz w:val="32"/>
          <w:szCs w:val="32"/>
        </w:rPr>
        <w:t>、</w:t>
      </w:r>
      <w:r>
        <w:rPr>
          <w:rFonts w:eastAsia="仿宋_GB2312"/>
          <w:i/>
          <w:sz w:val="32"/>
          <w:szCs w:val="32"/>
        </w:rPr>
        <w:t>bla</w:t>
      </w:r>
      <w:r>
        <w:rPr>
          <w:rFonts w:eastAsia="仿宋_GB2312"/>
          <w:sz w:val="32"/>
          <w:szCs w:val="32"/>
          <w:vertAlign w:val="subscript"/>
        </w:rPr>
        <w:t>KPC-33</w:t>
      </w:r>
      <w:r>
        <w:rPr>
          <w:rFonts w:eastAsia="仿宋_GB2312"/>
          <w:sz w:val="32"/>
          <w:szCs w:val="32"/>
        </w:rPr>
        <w:t>、</w:t>
      </w:r>
      <w:r>
        <w:rPr>
          <w:rFonts w:eastAsia="仿宋_GB2312"/>
          <w:i/>
          <w:sz w:val="32"/>
          <w:szCs w:val="32"/>
        </w:rPr>
        <w:t>bla</w:t>
      </w:r>
      <w:r>
        <w:rPr>
          <w:rFonts w:eastAsia="仿宋_GB2312"/>
          <w:sz w:val="32"/>
          <w:szCs w:val="32"/>
          <w:vertAlign w:val="subscript"/>
        </w:rPr>
        <w:t>KPC-51</w:t>
      </w:r>
      <w:r>
        <w:rPr>
          <w:rFonts w:eastAsia="仿宋_GB2312"/>
          <w:sz w:val="32"/>
          <w:szCs w:val="32"/>
        </w:rPr>
        <w:t>、</w:t>
      </w:r>
      <w:r>
        <w:rPr>
          <w:rFonts w:eastAsia="仿宋_GB2312"/>
          <w:i/>
          <w:sz w:val="32"/>
          <w:szCs w:val="32"/>
        </w:rPr>
        <w:t>bla</w:t>
      </w:r>
      <w:r>
        <w:rPr>
          <w:rFonts w:eastAsia="仿宋_GB2312"/>
          <w:sz w:val="32"/>
          <w:szCs w:val="32"/>
          <w:vertAlign w:val="subscript"/>
        </w:rPr>
        <w:t>KPC-76</w:t>
      </w:r>
      <w:r>
        <w:rPr>
          <w:rFonts w:eastAsia="仿宋_GB2312"/>
          <w:sz w:val="32"/>
          <w:szCs w:val="32"/>
        </w:rPr>
        <w:t>、</w:t>
      </w:r>
      <w:r>
        <w:rPr>
          <w:rFonts w:eastAsia="仿宋_GB2312"/>
          <w:i/>
          <w:sz w:val="32"/>
          <w:szCs w:val="32"/>
        </w:rPr>
        <w:t>bla</w:t>
      </w:r>
      <w:r>
        <w:rPr>
          <w:rFonts w:eastAsia="仿宋_GB2312"/>
          <w:sz w:val="32"/>
          <w:szCs w:val="32"/>
          <w:vertAlign w:val="subscript"/>
        </w:rPr>
        <w:t>KPC-79</w:t>
      </w:r>
      <w:r>
        <w:rPr>
          <w:rFonts w:eastAsia="仿宋_GB2312"/>
          <w:sz w:val="32"/>
          <w:szCs w:val="32"/>
        </w:rPr>
        <w:t>及其他亚型），分析假阴性风险并在说明书局限性项下进行明确。</w:t>
      </w:r>
      <w:r>
        <w:rPr>
          <w:rFonts w:hint="eastAsia" w:eastAsia="仿宋_GB2312"/>
          <w:sz w:val="32"/>
          <w:szCs w:val="32"/>
        </w:rPr>
        <w:t>建议</w:t>
      </w:r>
      <w:r>
        <w:rPr>
          <w:rFonts w:eastAsia="仿宋_GB2312"/>
          <w:sz w:val="32"/>
          <w:szCs w:val="32"/>
        </w:rPr>
        <w:t>使用</w:t>
      </w:r>
      <w:r>
        <w:rPr>
          <w:rFonts w:hint="eastAsia" w:eastAsia="仿宋_GB2312"/>
          <w:sz w:val="32"/>
          <w:szCs w:val="32"/>
        </w:rPr>
        <w:t>临床样本或将培养</w:t>
      </w:r>
      <w:r>
        <w:rPr>
          <w:rFonts w:eastAsia="仿宋_GB2312"/>
          <w:sz w:val="32"/>
          <w:szCs w:val="32"/>
        </w:rPr>
        <w:t>菌株</w:t>
      </w:r>
      <w:r>
        <w:rPr>
          <w:rFonts w:hint="eastAsia" w:eastAsia="仿宋_GB2312"/>
          <w:sz w:val="32"/>
          <w:szCs w:val="32"/>
        </w:rPr>
        <w:t>添加至</w:t>
      </w:r>
      <w:r>
        <w:rPr>
          <w:rFonts w:eastAsia="仿宋_GB2312"/>
          <w:sz w:val="32"/>
          <w:szCs w:val="32"/>
        </w:rPr>
        <w:t>阴性基质</w:t>
      </w:r>
      <w:r>
        <w:rPr>
          <w:rFonts w:hint="eastAsia" w:eastAsia="仿宋_GB2312"/>
          <w:sz w:val="32"/>
          <w:szCs w:val="32"/>
        </w:rPr>
        <w:t>进行研究。</w:t>
      </w:r>
    </w:p>
    <w:p>
      <w:pPr>
        <w:spacing w:line="520" w:lineRule="exact"/>
        <w:ind w:firstLine="640" w:firstLineChars="200"/>
        <w:rPr>
          <w:rFonts w:eastAsia="仿宋_GB2312"/>
          <w:sz w:val="32"/>
          <w:szCs w:val="32"/>
        </w:rPr>
      </w:pPr>
      <w:r>
        <w:rPr>
          <w:rFonts w:eastAsia="仿宋_GB2312"/>
          <w:sz w:val="32"/>
          <w:szCs w:val="32"/>
        </w:rPr>
        <w:t>针对分离菌落样本，应提交来源于患者常见感染部位（如肺部感染、血流感染、泌尿道感染）的菌落研究资料。</w:t>
      </w:r>
    </w:p>
    <w:p>
      <w:pPr>
        <w:spacing w:line="520" w:lineRule="exact"/>
        <w:ind w:firstLine="640" w:firstLineChars="200"/>
        <w:contextualSpacing/>
        <w:rPr>
          <w:rFonts w:eastAsia="仿宋_GB2312"/>
          <w:sz w:val="32"/>
          <w:szCs w:val="32"/>
        </w:rPr>
      </w:pPr>
      <w:r>
        <w:rPr>
          <w:rFonts w:eastAsia="仿宋_GB2312"/>
          <w:sz w:val="32"/>
          <w:szCs w:val="32"/>
        </w:rPr>
        <w:t>2.7分析特异性</w:t>
      </w:r>
    </w:p>
    <w:p>
      <w:pPr>
        <w:adjustRightInd w:val="0"/>
        <w:snapToGrid w:val="0"/>
        <w:spacing w:line="520" w:lineRule="exact"/>
        <w:ind w:firstLine="640" w:firstLineChars="200"/>
        <w:rPr>
          <w:rFonts w:eastAsia="仿宋_GB2312"/>
          <w:sz w:val="32"/>
          <w:szCs w:val="32"/>
        </w:rPr>
      </w:pPr>
      <w:r>
        <w:rPr>
          <w:rFonts w:eastAsia="仿宋_GB2312"/>
          <w:sz w:val="32"/>
          <w:szCs w:val="32"/>
        </w:rPr>
        <w:t>2.7.1交叉反应</w:t>
      </w:r>
    </w:p>
    <w:p>
      <w:pPr>
        <w:spacing w:line="520" w:lineRule="exact"/>
        <w:ind w:firstLine="640" w:firstLineChars="200"/>
        <w:rPr>
          <w:rFonts w:eastAsia="仿宋_GB2312"/>
          <w:sz w:val="32"/>
          <w:szCs w:val="32"/>
        </w:rPr>
      </w:pPr>
      <w:r>
        <w:rPr>
          <w:rFonts w:eastAsia="仿宋_GB2312"/>
          <w:sz w:val="32"/>
          <w:szCs w:val="32"/>
        </w:rPr>
        <w:t>对于检测范围外的其他碳青霉烯酶基因（如A类：IMI、SME、GES、NMC，B类：NDM、IMP、VIM、GIM、SPM、SIM，D类：OXA-23、OXA-24、OXA-48、OXA-58和OXA-51），建议通过生物信息学分析，如存在较高同源性，应采用人工合成样本进行交叉反应研究。</w:t>
      </w:r>
    </w:p>
    <w:p>
      <w:pPr>
        <w:spacing w:line="520" w:lineRule="exact"/>
        <w:ind w:firstLine="640" w:firstLineChars="200"/>
        <w:rPr>
          <w:rFonts w:eastAsia="仿宋_GB2312"/>
          <w:sz w:val="32"/>
        </w:rPr>
      </w:pPr>
      <w:r>
        <w:rPr>
          <w:rFonts w:eastAsia="仿宋_GB2312"/>
          <w:sz w:val="32"/>
          <w:szCs w:val="32"/>
        </w:rPr>
        <w:t>交叉反应验证的病原体种类主要考虑以下几方面：</w:t>
      </w:r>
      <w:r>
        <w:rPr>
          <w:rFonts w:eastAsia="仿宋_GB2312"/>
          <w:sz w:val="32"/>
        </w:rPr>
        <w:t>核酸序列具有同源性、易引起相同或相似的临床症状的其它病原体，或待检测样本中可能共存的其它病原体。建议至少包括大肠埃希菌、肺炎克雷伯菌、金黄色葡萄球菌、铜绿假单胞菌、鲍曼不动杆菌、流感嗜血杆菌、屎肠球菌、粪肠球菌、嗜麦芽窄食单胞菌、肺炎链球菌</w:t>
      </w:r>
      <w:r>
        <w:rPr>
          <w:rFonts w:hint="eastAsia" w:eastAsia="仿宋_GB2312"/>
          <w:sz w:val="32"/>
        </w:rPr>
        <w:t>以及</w:t>
      </w:r>
      <w:r>
        <w:rPr>
          <w:rFonts w:hint="eastAsia" w:eastAsia="仿宋_GB2312"/>
          <w:sz w:val="32"/>
          <w:szCs w:val="32"/>
        </w:rPr>
        <w:t>近</w:t>
      </w:r>
      <w:r>
        <w:rPr>
          <w:rFonts w:eastAsia="仿宋_GB2312"/>
          <w:sz w:val="32"/>
          <w:szCs w:val="32"/>
        </w:rPr>
        <w:t>3</w:t>
      </w:r>
      <w:r>
        <w:rPr>
          <w:rFonts w:hint="eastAsia" w:eastAsia="仿宋_GB2312"/>
          <w:sz w:val="32"/>
          <w:szCs w:val="32"/>
        </w:rPr>
        <w:t>年内我国出现的主要临床耐药分离菌种，具体可参考</w:t>
      </w:r>
      <w:r>
        <w:rPr>
          <w:rFonts w:hint="eastAsia" w:eastAsia="仿宋_GB2312"/>
          <w:sz w:val="32"/>
        </w:rPr>
        <w:t>中国细菌耐药监测网公布</w:t>
      </w:r>
      <w:r>
        <w:rPr>
          <w:rFonts w:eastAsia="仿宋_GB2312"/>
          <w:sz w:val="32"/>
        </w:rPr>
        <w:t>的信息</w:t>
      </w:r>
      <w:r>
        <w:rPr>
          <w:rFonts w:hint="eastAsia" w:eastAsia="仿宋_GB2312"/>
          <w:sz w:val="32"/>
        </w:rPr>
        <w:t>。</w:t>
      </w:r>
    </w:p>
    <w:p>
      <w:pPr>
        <w:spacing w:line="520" w:lineRule="exact"/>
        <w:ind w:firstLine="640" w:firstLineChars="200"/>
        <w:rPr>
          <w:rFonts w:eastAsia="仿宋_GB2312"/>
          <w:sz w:val="32"/>
        </w:rPr>
      </w:pPr>
      <w:r>
        <w:rPr>
          <w:rFonts w:eastAsia="仿宋_GB2312"/>
          <w:sz w:val="32"/>
          <w:szCs w:val="32"/>
        </w:rPr>
        <w:t>申请人应提供所有用于交叉反应验证的微生物的来源、种属/型别和浓度确认等试验资料。建议在病毒和细菌感染的医学相关水平进行交叉反应的验证。通常，细菌感染的水平为10</w:t>
      </w:r>
      <w:r>
        <w:rPr>
          <w:rFonts w:eastAsia="仿宋_GB2312"/>
          <w:sz w:val="32"/>
          <w:szCs w:val="32"/>
          <w:vertAlign w:val="superscript"/>
        </w:rPr>
        <w:t>6</w:t>
      </w:r>
      <w:r>
        <w:rPr>
          <w:rFonts w:eastAsia="仿宋_GB2312"/>
          <w:sz w:val="32"/>
          <w:szCs w:val="32"/>
        </w:rPr>
        <w:t xml:space="preserve"> CFU/mL或更高，病毒为10</w:t>
      </w:r>
      <w:r>
        <w:rPr>
          <w:rFonts w:eastAsia="仿宋_GB2312"/>
          <w:sz w:val="32"/>
          <w:szCs w:val="32"/>
          <w:vertAlign w:val="superscript"/>
        </w:rPr>
        <w:t xml:space="preserve">5 </w:t>
      </w:r>
      <w:r>
        <w:rPr>
          <w:rFonts w:eastAsia="仿宋_GB2312"/>
          <w:sz w:val="32"/>
          <w:szCs w:val="32"/>
        </w:rPr>
        <w:t>PFU/mL或更高。</w:t>
      </w:r>
    </w:p>
    <w:p>
      <w:pPr>
        <w:spacing w:line="520" w:lineRule="exact"/>
        <w:ind w:firstLine="640" w:firstLineChars="200"/>
        <w:rPr>
          <w:rFonts w:eastAsia="仿宋_GB2312"/>
          <w:sz w:val="32"/>
          <w:szCs w:val="32"/>
        </w:rPr>
      </w:pPr>
      <w:r>
        <w:rPr>
          <w:rFonts w:eastAsia="仿宋_GB2312"/>
          <w:sz w:val="32"/>
          <w:szCs w:val="32"/>
        </w:rPr>
        <w:t>有关交叉反应验证的信息应以列表的方式在产品说明书的【产品性能指标】项中有所体现。</w:t>
      </w:r>
    </w:p>
    <w:p>
      <w:pPr>
        <w:spacing w:line="520" w:lineRule="exact"/>
        <w:ind w:firstLine="640" w:firstLineChars="200"/>
        <w:contextualSpacing/>
        <w:rPr>
          <w:rFonts w:eastAsia="仿宋_GB2312"/>
          <w:sz w:val="32"/>
          <w:szCs w:val="32"/>
        </w:rPr>
      </w:pPr>
      <w:r>
        <w:rPr>
          <w:rFonts w:eastAsia="仿宋_GB2312"/>
          <w:sz w:val="32"/>
          <w:szCs w:val="32"/>
        </w:rPr>
        <w:t>2.7.2干扰试验</w:t>
      </w:r>
    </w:p>
    <w:p>
      <w:pPr>
        <w:spacing w:line="520" w:lineRule="exact"/>
        <w:ind w:firstLine="640" w:firstLineChars="200"/>
        <w:rPr>
          <w:rFonts w:eastAsia="仿宋_GB2312"/>
          <w:sz w:val="32"/>
          <w:szCs w:val="32"/>
        </w:rPr>
      </w:pPr>
      <w:r>
        <w:rPr>
          <w:rFonts w:eastAsia="仿宋_GB2312"/>
          <w:sz w:val="32"/>
          <w:szCs w:val="32"/>
        </w:rPr>
        <w:t>干扰试验通常包含内源性干扰（如异嗜性抗体、疾病相关蛋白、患者体内的异常生化代谢物）、外源性干扰（如样本添加剂、常用药物及其代谢物）等。</w:t>
      </w:r>
    </w:p>
    <w:p>
      <w:pPr>
        <w:spacing w:line="520" w:lineRule="exact"/>
        <w:ind w:firstLine="640" w:firstLineChars="200"/>
        <w:rPr>
          <w:rFonts w:eastAsia="仿宋_GB2312"/>
          <w:sz w:val="32"/>
          <w:szCs w:val="32"/>
        </w:rPr>
      </w:pPr>
      <w:r>
        <w:rPr>
          <w:rFonts w:eastAsia="仿宋_GB2312"/>
          <w:sz w:val="32"/>
          <w:szCs w:val="32"/>
        </w:rPr>
        <w:t>应根据所采集样本类型，针对可能存在的内源/外源物质干扰情况进行验证。建议申请人在每种干扰物质的潜在最大浓度（“最差条件”）条件下进行试验，检测阴性样本及至少包含临界阳性水平的</w:t>
      </w:r>
      <w:r>
        <w:rPr>
          <w:rFonts w:eastAsia="仿宋_GB2312"/>
          <w:bCs/>
          <w:i/>
          <w:sz w:val="32"/>
          <w:szCs w:val="32"/>
        </w:rPr>
        <w:t>bla</w:t>
      </w:r>
      <w:r>
        <w:rPr>
          <w:rFonts w:eastAsia="仿宋_GB2312"/>
          <w:bCs/>
          <w:sz w:val="32"/>
          <w:szCs w:val="32"/>
          <w:vertAlign w:val="subscript"/>
        </w:rPr>
        <w:t>KPC</w:t>
      </w:r>
      <w:r>
        <w:rPr>
          <w:rFonts w:eastAsia="仿宋_GB2312"/>
          <w:sz w:val="32"/>
          <w:szCs w:val="32"/>
        </w:rPr>
        <w:t>阳性样本。</w:t>
      </w:r>
      <w:r>
        <w:rPr>
          <w:rFonts w:eastAsia="仿宋_GB2312"/>
          <w:sz w:val="32"/>
        </w:rPr>
        <w:t>应注明不同干扰物质对被检测物质无干扰的最高限值。</w:t>
      </w:r>
      <w:r>
        <w:rPr>
          <w:rFonts w:eastAsia="仿宋_GB2312"/>
          <w:sz w:val="32"/>
          <w:szCs w:val="32"/>
        </w:rPr>
        <w:t>用于干扰试验研究的物质具体见表1。</w:t>
      </w:r>
    </w:p>
    <w:p>
      <w:pPr>
        <w:spacing w:line="520" w:lineRule="exact"/>
        <w:ind w:firstLine="640" w:firstLineChars="200"/>
        <w:rPr>
          <w:rFonts w:eastAsia="仿宋_GB2312"/>
          <w:sz w:val="32"/>
          <w:szCs w:val="32"/>
        </w:rPr>
      </w:pPr>
    </w:p>
    <w:p>
      <w:pPr>
        <w:spacing w:line="520" w:lineRule="exact"/>
        <w:jc w:val="center"/>
        <w:rPr>
          <w:rFonts w:eastAsia="仿宋_GB2312"/>
          <w:sz w:val="32"/>
          <w:szCs w:val="32"/>
        </w:rPr>
      </w:pPr>
      <w:r>
        <w:rPr>
          <w:rFonts w:eastAsia="黑体"/>
          <w:sz w:val="28"/>
          <w:szCs w:val="28"/>
        </w:rPr>
        <w:t>表1 用于干扰试验研究的物质</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5"/>
        <w:gridCol w:w="6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5" w:type="dxa"/>
            <w:vAlign w:val="center"/>
          </w:tcPr>
          <w:p>
            <w:pPr>
              <w:spacing w:line="520" w:lineRule="exact"/>
              <w:jc w:val="center"/>
              <w:rPr>
                <w:rFonts w:eastAsia="仿宋"/>
                <w:sz w:val="28"/>
                <w:szCs w:val="28"/>
              </w:rPr>
            </w:pPr>
            <w:r>
              <w:rPr>
                <w:rFonts w:eastAsia="仿宋"/>
                <w:sz w:val="28"/>
                <w:szCs w:val="28"/>
              </w:rPr>
              <w:t>类别</w:t>
            </w:r>
          </w:p>
        </w:tc>
        <w:tc>
          <w:tcPr>
            <w:tcW w:w="6131" w:type="dxa"/>
          </w:tcPr>
          <w:p>
            <w:pPr>
              <w:spacing w:line="520" w:lineRule="exact"/>
              <w:jc w:val="center"/>
              <w:rPr>
                <w:rFonts w:eastAsia="仿宋"/>
                <w:sz w:val="28"/>
                <w:szCs w:val="28"/>
              </w:rPr>
            </w:pPr>
            <w:r>
              <w:rPr>
                <w:rFonts w:eastAsia="仿宋"/>
                <w:sz w:val="28"/>
                <w:szCs w:val="28"/>
              </w:rPr>
              <w:t>具体物质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2165" w:type="dxa"/>
            <w:vMerge w:val="restart"/>
            <w:vAlign w:val="center"/>
          </w:tcPr>
          <w:p>
            <w:pPr>
              <w:spacing w:line="520" w:lineRule="exact"/>
              <w:jc w:val="center"/>
              <w:rPr>
                <w:rFonts w:eastAsia="仿宋"/>
                <w:sz w:val="28"/>
                <w:szCs w:val="28"/>
              </w:rPr>
            </w:pPr>
            <w:r>
              <w:rPr>
                <w:rFonts w:eastAsia="仿宋"/>
                <w:sz w:val="28"/>
                <w:szCs w:val="28"/>
              </w:rPr>
              <w:t>内源物质</w:t>
            </w:r>
          </w:p>
        </w:tc>
        <w:tc>
          <w:tcPr>
            <w:tcW w:w="6131" w:type="dxa"/>
          </w:tcPr>
          <w:p>
            <w:pPr>
              <w:spacing w:line="520" w:lineRule="exact"/>
              <w:rPr>
                <w:rFonts w:eastAsia="仿宋"/>
                <w:sz w:val="28"/>
                <w:szCs w:val="28"/>
              </w:rPr>
            </w:pPr>
            <w:r>
              <w:rPr>
                <w:rFonts w:eastAsia="仿宋"/>
                <w:sz w:val="28"/>
                <w:szCs w:val="28"/>
              </w:rPr>
              <w:t>痰液样本：血液、黏蛋白、人细胞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5" w:type="dxa"/>
            <w:vMerge w:val="continue"/>
            <w:vAlign w:val="center"/>
          </w:tcPr>
          <w:p>
            <w:pPr>
              <w:spacing w:line="520" w:lineRule="exact"/>
              <w:jc w:val="center"/>
              <w:rPr>
                <w:rFonts w:eastAsia="仿宋"/>
                <w:sz w:val="28"/>
                <w:szCs w:val="28"/>
              </w:rPr>
            </w:pPr>
          </w:p>
        </w:tc>
        <w:tc>
          <w:tcPr>
            <w:tcW w:w="6131" w:type="dxa"/>
          </w:tcPr>
          <w:p>
            <w:pPr>
              <w:spacing w:line="520" w:lineRule="exact"/>
              <w:rPr>
                <w:rFonts w:eastAsia="仿宋"/>
                <w:sz w:val="28"/>
                <w:szCs w:val="28"/>
              </w:rPr>
            </w:pPr>
            <w:r>
              <w:rPr>
                <w:rFonts w:eastAsia="仿宋"/>
                <w:sz w:val="28"/>
                <w:szCs w:val="28"/>
              </w:rPr>
              <w:t>直肠拭子样本：血红蛋白、胆红素、白细胞、血清蛋白、多糖、胆固醇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5" w:type="dxa"/>
            <w:vAlign w:val="center"/>
          </w:tcPr>
          <w:p>
            <w:pPr>
              <w:spacing w:line="520" w:lineRule="exact"/>
              <w:jc w:val="center"/>
              <w:rPr>
                <w:rFonts w:eastAsia="仿宋"/>
                <w:sz w:val="28"/>
                <w:szCs w:val="28"/>
              </w:rPr>
            </w:pPr>
            <w:r>
              <w:rPr>
                <w:rFonts w:eastAsia="仿宋"/>
                <w:sz w:val="28"/>
                <w:szCs w:val="28"/>
              </w:rPr>
              <w:t>常见治疗药物</w:t>
            </w:r>
          </w:p>
        </w:tc>
        <w:tc>
          <w:tcPr>
            <w:tcW w:w="6131" w:type="dxa"/>
          </w:tcPr>
          <w:p>
            <w:pPr>
              <w:spacing w:line="520" w:lineRule="exact"/>
              <w:rPr>
                <w:rFonts w:eastAsia="仿宋"/>
                <w:sz w:val="28"/>
                <w:szCs w:val="28"/>
              </w:rPr>
            </w:pPr>
            <w:r>
              <w:rPr>
                <w:rFonts w:eastAsia="仿宋"/>
                <w:sz w:val="28"/>
                <w:szCs w:val="28"/>
              </w:rPr>
              <w:t>亚胺培南、美罗培南、多立培南、粘菌素、氨基糖苷类、替加环素、磷霉素</w:t>
            </w:r>
          </w:p>
        </w:tc>
      </w:tr>
    </w:tbl>
    <w:p>
      <w:pPr>
        <w:adjustRightInd w:val="0"/>
        <w:snapToGrid w:val="0"/>
        <w:spacing w:line="520" w:lineRule="exact"/>
        <w:ind w:firstLine="640" w:firstLineChars="200"/>
        <w:rPr>
          <w:rFonts w:eastAsia="仿宋_GB2312"/>
          <w:sz w:val="32"/>
          <w:szCs w:val="32"/>
        </w:rPr>
      </w:pPr>
    </w:p>
    <w:p>
      <w:pPr>
        <w:adjustRightInd w:val="0"/>
        <w:snapToGrid w:val="0"/>
        <w:spacing w:line="520" w:lineRule="exact"/>
        <w:ind w:firstLine="640" w:firstLineChars="200"/>
        <w:rPr>
          <w:rFonts w:eastAsia="仿宋_GB2312"/>
          <w:sz w:val="32"/>
          <w:szCs w:val="32"/>
        </w:rPr>
      </w:pPr>
      <w:r>
        <w:rPr>
          <w:rFonts w:eastAsia="仿宋_GB2312"/>
          <w:sz w:val="32"/>
          <w:szCs w:val="32"/>
        </w:rPr>
        <w:t>2.8核酸提取/纯化性能</w:t>
      </w:r>
    </w:p>
    <w:p>
      <w:pPr>
        <w:adjustRightInd w:val="0"/>
        <w:snapToGrid w:val="0"/>
        <w:spacing w:line="520" w:lineRule="exact"/>
        <w:ind w:firstLine="640" w:firstLineChars="200"/>
        <w:rPr>
          <w:rFonts w:eastAsia="仿宋_GB2312"/>
          <w:kern w:val="0"/>
          <w:sz w:val="32"/>
          <w:szCs w:val="32"/>
        </w:rPr>
      </w:pPr>
      <w:r>
        <w:rPr>
          <w:rFonts w:eastAsia="仿宋_GB2312"/>
          <w:kern w:val="0"/>
          <w:sz w:val="32"/>
          <w:szCs w:val="32"/>
        </w:rPr>
        <w:t>在进行靶核酸检测前，应有适当的核酸分离/纯化步骤。该步骤的目的除最大量分离出靶核酸外，还应有相应的纯化作用，尽可能去除PCR抑制物。</w:t>
      </w:r>
    </w:p>
    <w:p>
      <w:pPr>
        <w:snapToGrid w:val="0"/>
        <w:spacing w:line="520" w:lineRule="exact"/>
        <w:ind w:firstLine="640" w:firstLineChars="200"/>
        <w:rPr>
          <w:rFonts w:eastAsia="仿宋_GB2312"/>
          <w:kern w:val="0"/>
          <w:sz w:val="32"/>
          <w:szCs w:val="32"/>
        </w:rPr>
      </w:pPr>
      <w:r>
        <w:rPr>
          <w:rFonts w:eastAsia="仿宋_GB2312"/>
          <w:kern w:val="0"/>
          <w:sz w:val="32"/>
          <w:szCs w:val="32"/>
        </w:rPr>
        <w:t>对配合使用的所有核酸提取试剂进行提取核酸纯度、提取效率的研究，并与质量较好的核酸提取试剂进行平行比对。若产品适用两种或以上核酸提取试剂，则每一种核酸提取试剂均需配合检测试剂进行抗干扰、精密度和检出限的验证。</w:t>
      </w:r>
      <w:r>
        <w:rPr>
          <w:rFonts w:eastAsia="仿宋_GB2312"/>
          <w:sz w:val="32"/>
          <w:szCs w:val="32"/>
        </w:rPr>
        <w:t>如果配套核酸提取试剂提取原理存在差异，还需同时进行检出限的建立研究。</w:t>
      </w:r>
    </w:p>
    <w:p>
      <w:pPr>
        <w:snapToGrid w:val="0"/>
        <w:spacing w:line="52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9</w:t>
      </w:r>
      <w:r>
        <w:rPr>
          <w:rFonts w:eastAsia="仿宋_GB2312"/>
          <w:sz w:val="32"/>
          <w:szCs w:val="32"/>
        </w:rPr>
        <w:t>反应体系</w:t>
      </w:r>
    </w:p>
    <w:p>
      <w:pPr>
        <w:snapToGrid w:val="0"/>
        <w:spacing w:line="52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9</w:t>
      </w:r>
      <w:r>
        <w:rPr>
          <w:rFonts w:eastAsia="仿宋_GB2312"/>
          <w:sz w:val="32"/>
          <w:szCs w:val="32"/>
        </w:rPr>
        <w:t>.1样本采集</w:t>
      </w:r>
    </w:p>
    <w:p>
      <w:pPr>
        <w:snapToGrid w:val="0"/>
        <w:spacing w:line="520" w:lineRule="exact"/>
        <w:ind w:firstLine="640" w:firstLineChars="200"/>
        <w:rPr>
          <w:rFonts w:eastAsia="仿宋_GB2312"/>
          <w:sz w:val="32"/>
          <w:szCs w:val="32"/>
        </w:rPr>
      </w:pPr>
      <w:r>
        <w:rPr>
          <w:rFonts w:eastAsia="仿宋_GB2312"/>
          <w:sz w:val="32"/>
          <w:szCs w:val="32"/>
        </w:rPr>
        <w:t>详述样本的采集方式、样本采集量</w:t>
      </w:r>
      <w:r>
        <w:rPr>
          <w:rFonts w:eastAsia="仿宋_GB2312"/>
          <w:kern w:val="0"/>
          <w:sz w:val="32"/>
          <w:szCs w:val="32"/>
        </w:rPr>
        <w:t>的选择，提供相关的研究资料。直肠</w:t>
      </w:r>
      <w:r>
        <w:rPr>
          <w:rFonts w:eastAsia="仿宋_GB2312"/>
          <w:sz w:val="32"/>
          <w:szCs w:val="32"/>
        </w:rPr>
        <w:t>拭子样本还应提供拭子头、拭子杆材质研究资料，并在说明书中明确。</w:t>
      </w:r>
    </w:p>
    <w:p>
      <w:pPr>
        <w:snapToGrid w:val="0"/>
        <w:spacing w:line="520" w:lineRule="exact"/>
        <w:ind w:firstLine="640" w:firstLineChars="200"/>
        <w:rPr>
          <w:rFonts w:eastAsia="仿宋_GB2312"/>
          <w:kern w:val="0"/>
          <w:sz w:val="32"/>
          <w:szCs w:val="32"/>
        </w:rPr>
      </w:pPr>
      <w:r>
        <w:rPr>
          <w:rFonts w:eastAsia="仿宋_GB2312"/>
          <w:kern w:val="0"/>
          <w:sz w:val="32"/>
          <w:szCs w:val="32"/>
        </w:rPr>
        <w:t>2.</w:t>
      </w:r>
      <w:r>
        <w:rPr>
          <w:rFonts w:hint="eastAsia" w:eastAsia="仿宋_GB2312"/>
          <w:kern w:val="0"/>
          <w:sz w:val="32"/>
          <w:szCs w:val="32"/>
        </w:rPr>
        <w:t>9</w:t>
      </w:r>
      <w:r>
        <w:rPr>
          <w:rFonts w:eastAsia="仿宋_GB2312"/>
          <w:kern w:val="0"/>
          <w:sz w:val="32"/>
          <w:szCs w:val="32"/>
        </w:rPr>
        <w:t>.2样本处理</w:t>
      </w:r>
    </w:p>
    <w:p>
      <w:pPr>
        <w:snapToGrid w:val="0"/>
        <w:spacing w:line="520" w:lineRule="exact"/>
        <w:ind w:firstLine="640" w:firstLineChars="200"/>
        <w:rPr>
          <w:rFonts w:eastAsia="仿宋_GB2312"/>
          <w:sz w:val="32"/>
          <w:szCs w:val="32"/>
        </w:rPr>
      </w:pPr>
      <w:r>
        <w:rPr>
          <w:rFonts w:eastAsia="仿宋_GB2312"/>
          <w:sz w:val="32"/>
          <w:szCs w:val="32"/>
        </w:rPr>
        <w:t>不同类型的样本应分别进行研究。痰液样本重点关注样本处理及消化过程（明确消化液原理），包括所用试剂及用量、液化条件、液化时间，应在说明书中明确。直肠拭子样本重点关注保存液或裂解液的成分、浓度、使用量的要求等，应在说明书中明确。分离菌落样本重点关注菌落培养、混悬液制备的要求等，应在说明书中明确。</w:t>
      </w:r>
    </w:p>
    <w:p>
      <w:pPr>
        <w:snapToGrid w:val="0"/>
        <w:spacing w:line="52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9</w:t>
      </w:r>
      <w:r>
        <w:rPr>
          <w:rFonts w:eastAsia="仿宋_GB2312"/>
          <w:sz w:val="32"/>
          <w:szCs w:val="32"/>
        </w:rPr>
        <w:t>.3核酸提取和反应体系</w:t>
      </w:r>
    </w:p>
    <w:p>
      <w:pPr>
        <w:spacing w:line="520" w:lineRule="exact"/>
        <w:ind w:firstLine="640" w:firstLineChars="200"/>
        <w:rPr>
          <w:rFonts w:eastAsia="仿宋_GB2312"/>
          <w:sz w:val="32"/>
          <w:szCs w:val="32"/>
        </w:rPr>
      </w:pPr>
      <w:r>
        <w:rPr>
          <w:rFonts w:eastAsia="仿宋_GB2312"/>
          <w:sz w:val="32"/>
          <w:szCs w:val="32"/>
        </w:rPr>
        <w:t>研究确定最佳核酸提取和反应体系，包括核酸提取用的样本体积、洗脱体积和PCR反应加样体积、试剂用量、各种酶浓度、引物/探针浓度、dNTP浓度、阳离子浓度及反应条件（各阶段温度、时间、循环数）、校准方法、质控方法等。</w:t>
      </w:r>
    </w:p>
    <w:p>
      <w:pPr>
        <w:spacing w:line="520" w:lineRule="exact"/>
        <w:ind w:firstLine="640" w:firstLineChars="200"/>
        <w:rPr>
          <w:rFonts w:eastAsia="仿宋_GB2312"/>
          <w:sz w:val="32"/>
          <w:szCs w:val="32"/>
        </w:rPr>
      </w:pPr>
      <w:r>
        <w:rPr>
          <w:rFonts w:eastAsia="仿宋_GB2312"/>
          <w:sz w:val="32"/>
          <w:szCs w:val="32"/>
        </w:rPr>
        <w:t>建议在保证核酸提取质量的情况下尽量扩大总反应体系和加样量，以提高检测灵敏度。</w:t>
      </w:r>
    </w:p>
    <w:p>
      <w:pPr>
        <w:spacing w:line="520" w:lineRule="exact"/>
        <w:ind w:firstLine="640" w:firstLineChars="200"/>
        <w:rPr>
          <w:rFonts w:eastAsia="仿宋_GB2312"/>
          <w:sz w:val="32"/>
          <w:szCs w:val="32"/>
        </w:rPr>
      </w:pPr>
      <w:r>
        <w:rPr>
          <w:rFonts w:eastAsia="仿宋_GB2312"/>
          <w:sz w:val="32"/>
          <w:szCs w:val="32"/>
        </w:rPr>
        <w:t>提交不同适用机型基线和阈值循环数的确定资料。</w:t>
      </w:r>
    </w:p>
    <w:p>
      <w:pPr>
        <w:spacing w:line="520" w:lineRule="exact"/>
        <w:ind w:firstLine="640" w:firstLineChars="200"/>
        <w:rPr>
          <w:rFonts w:eastAsia="仿宋_GB2312"/>
          <w:sz w:val="32"/>
          <w:szCs w:val="32"/>
        </w:rPr>
      </w:pPr>
      <w:r>
        <w:rPr>
          <w:rFonts w:eastAsia="仿宋_GB2312"/>
          <w:sz w:val="32"/>
          <w:szCs w:val="32"/>
        </w:rPr>
        <w:t>不同适用机型的反应条件如果有差异应分别详述，并提交验证资料。</w:t>
      </w:r>
    </w:p>
    <w:p>
      <w:pPr>
        <w:snapToGrid w:val="0"/>
        <w:spacing w:line="520" w:lineRule="exact"/>
        <w:ind w:firstLine="640" w:firstLineChars="200"/>
        <w:rPr>
          <w:rFonts w:eastAsia="仿宋_GB2312"/>
          <w:sz w:val="32"/>
          <w:szCs w:val="32"/>
        </w:rPr>
      </w:pPr>
      <w:bookmarkStart w:id="3" w:name="_Toc342306967"/>
      <w:r>
        <w:rPr>
          <w:rFonts w:eastAsia="仿宋_GB2312"/>
          <w:sz w:val="32"/>
          <w:szCs w:val="32"/>
        </w:rPr>
        <w:t>3.稳定性研究资料</w:t>
      </w:r>
    </w:p>
    <w:p>
      <w:pPr>
        <w:spacing w:line="520" w:lineRule="exact"/>
        <w:ind w:firstLine="640" w:firstLineChars="200"/>
        <w:rPr>
          <w:rFonts w:eastAsia="仿宋_GB2312"/>
          <w:sz w:val="32"/>
          <w:szCs w:val="32"/>
        </w:rPr>
      </w:pPr>
      <w:r>
        <w:rPr>
          <w:rFonts w:eastAsia="仿宋_GB2312"/>
          <w:sz w:val="32"/>
          <w:szCs w:val="32"/>
        </w:rPr>
        <w:t>申报试剂的稳定性研究主要包括实时稳定性、运输稳定性、开瓶稳定性、机载稳定性及冻融次数限制（如适用）等研究，申请人可根据实际需要选择合理的稳定性研究方案。稳定性研究资料应包括研究方法的确定依据、具体的实施方案、详细的研究数据以及结论。对于实时稳定性研究，应提供至少三批样品在实际储存条件下保存至成品有效期后的研究资料。</w:t>
      </w:r>
      <w:r>
        <w:rPr>
          <w:rFonts w:eastAsia="仿宋_GB2312"/>
          <w:spacing w:val="-4"/>
          <w:sz w:val="32"/>
          <w:szCs w:val="32"/>
        </w:rPr>
        <w:t>对于开瓶稳定性研究，应模拟真实使用情形，包括开瓶稳定性的开瓶频次和开瓶时间等。</w:t>
      </w:r>
    </w:p>
    <w:bookmarkEnd w:id="3"/>
    <w:p>
      <w:pPr>
        <w:snapToGrid w:val="0"/>
        <w:spacing w:line="520" w:lineRule="exact"/>
        <w:ind w:firstLine="640" w:firstLineChars="200"/>
        <w:rPr>
          <w:rFonts w:eastAsia="仿宋_GB2312"/>
          <w:sz w:val="32"/>
          <w:szCs w:val="32"/>
        </w:rPr>
      </w:pPr>
      <w:bookmarkStart w:id="4" w:name="_Toc342306968"/>
      <w:r>
        <w:rPr>
          <w:rFonts w:eastAsia="仿宋_GB2312"/>
          <w:sz w:val="32"/>
          <w:szCs w:val="32"/>
        </w:rPr>
        <w:t>4</w:t>
      </w:r>
      <w:bookmarkEnd w:id="4"/>
      <w:r>
        <w:rPr>
          <w:rFonts w:eastAsia="仿宋_GB2312"/>
          <w:sz w:val="32"/>
          <w:szCs w:val="32"/>
        </w:rPr>
        <w:t>.阳性判断值</w:t>
      </w:r>
    </w:p>
    <w:p>
      <w:pPr>
        <w:snapToGrid w:val="0"/>
        <w:spacing w:line="520" w:lineRule="exact"/>
        <w:ind w:firstLine="640" w:firstLineChars="200"/>
        <w:rPr>
          <w:rFonts w:eastAsia="仿宋_GB2312"/>
          <w:sz w:val="32"/>
          <w:szCs w:val="32"/>
        </w:rPr>
      </w:pPr>
      <w:r>
        <w:rPr>
          <w:rFonts w:eastAsia="仿宋_GB2312"/>
          <w:sz w:val="32"/>
          <w:szCs w:val="32"/>
        </w:rPr>
        <w:t>对于此类试剂，阳性判断值主要是指用于结果判断的Ct值。申请人可采用受试者工作特征（ROC）曲线的方式对申报产品用于结果判断的临界值予以确认。如采用其他研究方法，应说明其合理性。</w:t>
      </w:r>
    </w:p>
    <w:p>
      <w:pPr>
        <w:snapToGrid w:val="0"/>
        <w:spacing w:line="520" w:lineRule="exact"/>
        <w:ind w:firstLine="640" w:firstLineChars="200"/>
        <w:rPr>
          <w:rFonts w:eastAsia="仿宋_GB2312"/>
          <w:sz w:val="32"/>
          <w:szCs w:val="32"/>
        </w:rPr>
      </w:pPr>
      <w:r>
        <w:rPr>
          <w:rFonts w:eastAsia="仿宋_GB2312"/>
          <w:sz w:val="32"/>
          <w:szCs w:val="32"/>
        </w:rPr>
        <w:t>阳性判断值研究用样本来源应具有多样性和代表性，应为预期人群，考虑不同时间、地域、不同的感染阶段和生理状态等因素，尽量纳入较多弱阳性样本。提交所用样本的背景信息列表，至少包括性别、年龄、临床诊断信息、样本来源机构、检测结果等信息。</w:t>
      </w:r>
    </w:p>
    <w:p>
      <w:pPr>
        <w:spacing w:line="520" w:lineRule="exact"/>
        <w:ind w:firstLine="640" w:firstLineChars="200"/>
        <w:outlineLvl w:val="1"/>
        <w:rPr>
          <w:rFonts w:eastAsia="仿宋_GB2312"/>
          <w:sz w:val="32"/>
          <w:szCs w:val="32"/>
        </w:rPr>
      </w:pPr>
      <w:r>
        <w:rPr>
          <w:rFonts w:eastAsia="仿宋_GB2312"/>
          <w:sz w:val="32"/>
          <w:szCs w:val="32"/>
        </w:rPr>
        <w:t>如果产品适用不同样本类型，应对各样本类型进行阳性判断值的验证。</w:t>
      </w:r>
    </w:p>
    <w:p>
      <w:pPr>
        <w:spacing w:line="520" w:lineRule="exact"/>
        <w:ind w:firstLine="640" w:firstLineChars="200"/>
        <w:rPr>
          <w:rFonts w:eastAsia="仿宋_GB2312"/>
          <w:sz w:val="32"/>
          <w:szCs w:val="32"/>
        </w:rPr>
      </w:pPr>
      <w:r>
        <w:rPr>
          <w:rFonts w:eastAsia="仿宋_GB2312"/>
          <w:sz w:val="32"/>
          <w:szCs w:val="32"/>
        </w:rPr>
        <w:t>提供内标检测结果范围的确定方法和研究资料。</w:t>
      </w:r>
    </w:p>
    <w:p>
      <w:pPr>
        <w:spacing w:line="520" w:lineRule="exact"/>
        <w:ind w:firstLine="640" w:firstLineChars="200"/>
        <w:outlineLvl w:val="0"/>
        <w:rPr>
          <w:rFonts w:eastAsia="仿宋_GB2312"/>
          <w:sz w:val="32"/>
          <w:szCs w:val="32"/>
        </w:rPr>
      </w:pPr>
      <w:r>
        <w:rPr>
          <w:rFonts w:eastAsia="仿宋_GB2312"/>
          <w:sz w:val="32"/>
          <w:szCs w:val="32"/>
        </w:rPr>
        <w:t>5.其他资料</w:t>
      </w:r>
    </w:p>
    <w:p>
      <w:pPr>
        <w:spacing w:line="520" w:lineRule="exact"/>
        <w:ind w:firstLine="640" w:firstLineChars="200"/>
        <w:outlineLvl w:val="0"/>
        <w:rPr>
          <w:rFonts w:eastAsia="仿宋_GB2312"/>
          <w:kern w:val="0"/>
          <w:sz w:val="32"/>
          <w:szCs w:val="32"/>
        </w:rPr>
      </w:pPr>
      <w:r>
        <w:rPr>
          <w:rFonts w:eastAsia="仿宋_GB2312"/>
          <w:kern w:val="0"/>
          <w:sz w:val="32"/>
          <w:szCs w:val="32"/>
        </w:rPr>
        <w:t>5.1主要原材料研究资料</w:t>
      </w:r>
    </w:p>
    <w:p>
      <w:pPr>
        <w:snapToGrid w:val="0"/>
        <w:spacing w:line="520" w:lineRule="exact"/>
        <w:ind w:firstLine="640" w:firstLineChars="200"/>
        <w:rPr>
          <w:rFonts w:eastAsia="仿宋_GB2312"/>
          <w:sz w:val="32"/>
          <w:szCs w:val="32"/>
        </w:rPr>
      </w:pPr>
      <w:r>
        <w:rPr>
          <w:rFonts w:eastAsia="仿宋_GB2312"/>
          <w:sz w:val="32"/>
          <w:szCs w:val="32"/>
        </w:rPr>
        <w:t>该类产品的主要原材料包括引物、探针、dNTP、酶、核酸分离/纯化组分（如有）、质控品、参考品等。应提供主要原材料的选择与来源、制备过程、质量控制标准等相关研究资料、质控品的定值研究资料等。如主要原材料为企业自制，应提供其详细制备过程；如主要原材料源于外购，应提供资料包括：选择该原材料的依据及对比筛选试验资料、生产商提供的质量标准、出厂检验报告，以及该原材料到货后的质量检验资料。生产商应固定，不得随意更换。</w:t>
      </w:r>
    </w:p>
    <w:p>
      <w:pPr>
        <w:spacing w:line="520" w:lineRule="exact"/>
        <w:ind w:firstLine="640" w:firstLineChars="200"/>
        <w:rPr>
          <w:rFonts w:eastAsia="仿宋_GB2312"/>
          <w:sz w:val="32"/>
          <w:szCs w:val="32"/>
        </w:rPr>
      </w:pPr>
      <w:r>
        <w:rPr>
          <w:rFonts w:eastAsia="仿宋_GB2312"/>
          <w:sz w:val="32"/>
          <w:szCs w:val="32"/>
        </w:rPr>
        <w:t>5.1.1引物和探针</w:t>
      </w:r>
    </w:p>
    <w:p>
      <w:pPr>
        <w:snapToGrid w:val="0"/>
        <w:spacing w:line="520" w:lineRule="exact"/>
        <w:ind w:firstLine="640" w:firstLineChars="200"/>
        <w:rPr>
          <w:rFonts w:eastAsia="仿宋_GB2312"/>
          <w:sz w:val="32"/>
          <w:szCs w:val="32"/>
        </w:rPr>
      </w:pPr>
      <w:r>
        <w:rPr>
          <w:rFonts w:eastAsia="仿宋_GB2312"/>
          <w:sz w:val="32"/>
          <w:szCs w:val="32"/>
        </w:rPr>
        <w:t>应详述引物和探针的设计原则，提供引物、探针核酸序列、靶序列的基因位点及两者的对应情况。建议设计两套或多套引物、探针以供筛选，通过序列比对和功能性试验等方式，进行包容性和特异性（如交叉反应）的评价，其中序列比对包括与已公布KPC基因亚型序列、已公布其他耐药基因位点序列、易产生交叉反应的其他序列的比对。</w:t>
      </w:r>
    </w:p>
    <w:p>
      <w:pPr>
        <w:snapToGrid w:val="0"/>
        <w:spacing w:line="520" w:lineRule="exact"/>
        <w:ind w:firstLine="640" w:firstLineChars="200"/>
        <w:rPr>
          <w:rFonts w:eastAsia="仿宋_GB2312"/>
          <w:sz w:val="32"/>
          <w:szCs w:val="32"/>
        </w:rPr>
      </w:pPr>
      <w:r>
        <w:rPr>
          <w:rFonts w:eastAsia="仿宋_GB2312"/>
          <w:sz w:val="32"/>
          <w:szCs w:val="32"/>
        </w:rPr>
        <w:t>通过筛选确定最佳的引物和探针组合。引物、探针的质量标准应至少包括序列准确性、纯度、浓度及功能性实验等。</w:t>
      </w:r>
    </w:p>
    <w:p>
      <w:pPr>
        <w:spacing w:line="520" w:lineRule="exact"/>
        <w:ind w:firstLine="640" w:firstLineChars="200"/>
        <w:rPr>
          <w:rFonts w:eastAsia="仿宋_GB2312"/>
          <w:sz w:val="32"/>
          <w:szCs w:val="32"/>
        </w:rPr>
      </w:pPr>
      <w:r>
        <w:rPr>
          <w:rFonts w:eastAsia="仿宋_GB2312"/>
          <w:sz w:val="32"/>
          <w:szCs w:val="32"/>
        </w:rPr>
        <w:t>5.1.2脱氧三磷酸核苷（dNTP）</w:t>
      </w:r>
    </w:p>
    <w:p>
      <w:pPr>
        <w:spacing w:line="520" w:lineRule="exact"/>
        <w:ind w:firstLine="640" w:firstLineChars="200"/>
        <w:rPr>
          <w:rFonts w:eastAsia="仿宋_GB2312"/>
          <w:sz w:val="32"/>
          <w:szCs w:val="32"/>
        </w:rPr>
      </w:pPr>
      <w:r>
        <w:rPr>
          <w:rFonts w:eastAsia="仿宋_GB2312"/>
          <w:sz w:val="32"/>
          <w:szCs w:val="32"/>
        </w:rPr>
        <w:t>包括dATP、dUTP、dGTP、dCTP、dTTP，应提供对纯度、浓度、功能性等的详细验证资料。</w:t>
      </w:r>
    </w:p>
    <w:p>
      <w:pPr>
        <w:spacing w:line="520" w:lineRule="exact"/>
        <w:ind w:firstLine="640" w:firstLineChars="200"/>
        <w:rPr>
          <w:rFonts w:eastAsia="仿宋_GB2312"/>
          <w:sz w:val="32"/>
          <w:szCs w:val="32"/>
        </w:rPr>
      </w:pPr>
      <w:r>
        <w:rPr>
          <w:rFonts w:eastAsia="仿宋_GB2312"/>
          <w:sz w:val="32"/>
          <w:szCs w:val="32"/>
        </w:rPr>
        <w:t>5.1.3酶</w:t>
      </w:r>
    </w:p>
    <w:p>
      <w:pPr>
        <w:spacing w:line="520" w:lineRule="exact"/>
        <w:ind w:firstLine="640" w:firstLineChars="200"/>
        <w:rPr>
          <w:rFonts w:eastAsia="仿宋_GB2312"/>
          <w:sz w:val="32"/>
          <w:szCs w:val="32"/>
        </w:rPr>
      </w:pPr>
      <w:r>
        <w:rPr>
          <w:rFonts w:eastAsia="仿宋_GB2312"/>
          <w:sz w:val="32"/>
          <w:szCs w:val="32"/>
        </w:rPr>
        <w:t>需要的酶主要包括DNA聚合酶等，应分别对酶活性、功能性等进行评价和验证。</w:t>
      </w:r>
    </w:p>
    <w:p>
      <w:pPr>
        <w:spacing w:line="520" w:lineRule="exact"/>
        <w:ind w:firstLine="640" w:firstLineChars="200"/>
        <w:rPr>
          <w:rFonts w:eastAsia="仿宋_GB2312"/>
          <w:sz w:val="32"/>
          <w:szCs w:val="32"/>
        </w:rPr>
      </w:pPr>
      <w:r>
        <w:rPr>
          <w:rFonts w:eastAsia="仿宋_GB2312"/>
          <w:sz w:val="32"/>
          <w:szCs w:val="32"/>
        </w:rPr>
        <w:t>5.1.4核酸分离/纯化组分（如有）</w:t>
      </w:r>
    </w:p>
    <w:p>
      <w:pPr>
        <w:spacing w:line="520" w:lineRule="exact"/>
        <w:ind w:firstLine="640" w:firstLineChars="200"/>
        <w:rPr>
          <w:rFonts w:eastAsia="仿宋_GB2312"/>
          <w:sz w:val="32"/>
          <w:szCs w:val="32"/>
        </w:rPr>
      </w:pPr>
      <w:r>
        <w:rPr>
          <w:rFonts w:eastAsia="仿宋_GB2312"/>
          <w:sz w:val="32"/>
          <w:szCs w:val="32"/>
        </w:rPr>
        <w:t>应提交核酸分离/纯化组分主要组成、原理介绍及相关验证资料。</w:t>
      </w:r>
    </w:p>
    <w:p>
      <w:pPr>
        <w:snapToGrid w:val="0"/>
        <w:spacing w:line="520" w:lineRule="exact"/>
        <w:ind w:firstLine="640" w:firstLineChars="200"/>
        <w:rPr>
          <w:rFonts w:eastAsia="仿宋_GB2312"/>
          <w:sz w:val="32"/>
          <w:szCs w:val="32"/>
        </w:rPr>
      </w:pPr>
      <w:r>
        <w:rPr>
          <w:rFonts w:eastAsia="仿宋_GB2312"/>
          <w:sz w:val="32"/>
          <w:szCs w:val="32"/>
        </w:rPr>
        <w:t>5.1.5质控品</w:t>
      </w:r>
    </w:p>
    <w:p>
      <w:pPr>
        <w:spacing w:line="520" w:lineRule="exact"/>
        <w:ind w:firstLine="640" w:firstLineChars="200"/>
        <w:rPr>
          <w:rFonts w:eastAsia="仿宋_GB2312"/>
          <w:sz w:val="32"/>
          <w:szCs w:val="32"/>
        </w:rPr>
      </w:pPr>
      <w:r>
        <w:rPr>
          <w:rFonts w:eastAsia="仿宋_GB2312"/>
          <w:sz w:val="32"/>
          <w:szCs w:val="32"/>
        </w:rPr>
        <w:t>此类试剂的质控品一般包括阳性质控品和阴性质控品，可采用灭活菌株、工程菌株、质粒等制备。阳性质控品应包含试剂所检测的靶序列，阴性质控品应不含试剂所检靶序列的基因，质控品的基质应与实际样本基质一致或接近。</w:t>
      </w:r>
    </w:p>
    <w:p>
      <w:pPr>
        <w:spacing w:line="520" w:lineRule="exact"/>
        <w:ind w:firstLine="640" w:firstLineChars="200"/>
        <w:rPr>
          <w:rFonts w:eastAsia="仿宋_GB2312"/>
          <w:sz w:val="32"/>
          <w:szCs w:val="32"/>
        </w:rPr>
      </w:pPr>
      <w:r>
        <w:rPr>
          <w:rFonts w:eastAsia="仿宋_GB2312"/>
          <w:sz w:val="32"/>
          <w:szCs w:val="32"/>
        </w:rPr>
        <w:t>质控品应参与样本核酸的平行提取，以对整个PCR反应过程、试剂/设备、交叉污染等环节进行合理质量控制。申请人应提交试剂质控品有关的原料选择、制备、定值过程、浓度范围等试验资料，对质控品检测结果Ct值范围或浓度范围做出明确要求。</w:t>
      </w:r>
    </w:p>
    <w:p>
      <w:pPr>
        <w:snapToGrid w:val="0"/>
        <w:spacing w:line="520" w:lineRule="exact"/>
        <w:ind w:firstLine="640" w:firstLineChars="200"/>
        <w:rPr>
          <w:rFonts w:eastAsia="仿宋_GB2312"/>
          <w:sz w:val="32"/>
          <w:szCs w:val="32"/>
        </w:rPr>
      </w:pPr>
      <w:r>
        <w:rPr>
          <w:rFonts w:eastAsia="仿宋_GB2312"/>
          <w:sz w:val="32"/>
          <w:szCs w:val="32"/>
        </w:rPr>
        <w:t>5.1.6内标</w:t>
      </w:r>
    </w:p>
    <w:p>
      <w:pPr>
        <w:spacing w:line="520" w:lineRule="exact"/>
        <w:ind w:firstLine="640" w:firstLineChars="200"/>
        <w:rPr>
          <w:rFonts w:eastAsia="仿宋_GB2312"/>
          <w:sz w:val="32"/>
          <w:szCs w:val="32"/>
        </w:rPr>
      </w:pPr>
      <w:r>
        <w:rPr>
          <w:rFonts w:eastAsia="仿宋_GB2312"/>
          <w:sz w:val="32"/>
          <w:szCs w:val="32"/>
        </w:rPr>
        <w:t>应设置合理的内对照（内标）以对管内抑制可能造成的假阴性结果进行质控。</w:t>
      </w:r>
    </w:p>
    <w:p>
      <w:pPr>
        <w:spacing w:line="520" w:lineRule="exact"/>
        <w:ind w:firstLine="640" w:firstLineChars="200"/>
        <w:rPr>
          <w:rFonts w:eastAsia="仿宋_GB2312"/>
          <w:sz w:val="32"/>
          <w:szCs w:val="32"/>
        </w:rPr>
      </w:pPr>
      <w:r>
        <w:rPr>
          <w:rFonts w:eastAsia="仿宋_GB2312"/>
          <w:sz w:val="32"/>
          <w:szCs w:val="32"/>
        </w:rPr>
        <w:t>申请人应对内标的引物、探针和模板的浓度做精确验证，既要保证内标荧光通道呈明显的阳性曲线，又要尽量降低对靶基因检测造成的抑制。明确内标检测结果的Ct值范围。申请人应提交内对照（内标）基因的选择、制备、定值过程及试验资料。</w:t>
      </w:r>
    </w:p>
    <w:p>
      <w:pPr>
        <w:spacing w:line="520" w:lineRule="exact"/>
        <w:ind w:firstLine="640" w:firstLineChars="200"/>
        <w:rPr>
          <w:rFonts w:eastAsia="仿宋_GB2312"/>
          <w:kern w:val="0"/>
          <w:sz w:val="32"/>
          <w:szCs w:val="32"/>
        </w:rPr>
      </w:pPr>
      <w:r>
        <w:rPr>
          <w:rFonts w:eastAsia="仿宋_GB2312"/>
          <w:kern w:val="0"/>
          <w:sz w:val="32"/>
          <w:szCs w:val="32"/>
        </w:rPr>
        <w:t>5.1.7企业参考品</w:t>
      </w:r>
    </w:p>
    <w:p>
      <w:pPr>
        <w:snapToGrid w:val="0"/>
        <w:spacing w:line="520" w:lineRule="exact"/>
        <w:ind w:firstLine="640" w:firstLineChars="200"/>
        <w:rPr>
          <w:rFonts w:eastAsia="仿宋_GB2312"/>
          <w:sz w:val="32"/>
          <w:szCs w:val="32"/>
        </w:rPr>
      </w:pPr>
      <w:r>
        <w:rPr>
          <w:rFonts w:eastAsia="仿宋_GB2312"/>
          <w:sz w:val="32"/>
          <w:szCs w:val="32"/>
        </w:rPr>
        <w:t>该类产品的企业参考品一般包括阳性参考品、阴性参考品、检出限参考品和精密度参考品。应根据产品性能验证的实际需要设置企业参考品。</w:t>
      </w:r>
    </w:p>
    <w:p>
      <w:pPr>
        <w:spacing w:line="520" w:lineRule="exact"/>
        <w:ind w:firstLine="640" w:firstLineChars="200"/>
        <w:rPr>
          <w:rFonts w:eastAsia="仿宋_GB2312"/>
          <w:sz w:val="32"/>
          <w:szCs w:val="32"/>
        </w:rPr>
      </w:pPr>
      <w:r>
        <w:rPr>
          <w:rFonts w:eastAsia="仿宋_GB2312"/>
          <w:sz w:val="32"/>
          <w:szCs w:val="32"/>
        </w:rPr>
        <w:t>应提交企业参考品的原料来源、选择、制备、阴阳性及浓度确认方法等相关验证资料。企业参考品可</w:t>
      </w:r>
      <w:r>
        <w:rPr>
          <w:rFonts w:hint="eastAsia" w:eastAsia="仿宋_GB2312"/>
          <w:sz w:val="32"/>
          <w:szCs w:val="32"/>
        </w:rPr>
        <w:t>优先</w:t>
      </w:r>
      <w:r>
        <w:rPr>
          <w:rFonts w:eastAsia="仿宋_GB2312"/>
          <w:sz w:val="32"/>
          <w:szCs w:val="32"/>
        </w:rPr>
        <w:t>采用灭活菌株</w:t>
      </w:r>
      <w:r>
        <w:rPr>
          <w:rFonts w:hint="eastAsia" w:eastAsia="仿宋_GB2312"/>
          <w:sz w:val="32"/>
          <w:szCs w:val="32"/>
        </w:rPr>
        <w:t>，难获得的可采用</w:t>
      </w:r>
      <w:r>
        <w:rPr>
          <w:rFonts w:eastAsia="仿宋_GB2312"/>
          <w:sz w:val="32"/>
          <w:szCs w:val="32"/>
        </w:rPr>
        <w:t>工程菌株等制备，参考品基质应与适用样本基质一致。</w:t>
      </w:r>
      <w:r>
        <w:rPr>
          <w:rFonts w:eastAsia="仿宋_GB2312"/>
          <w:bCs/>
          <w:sz w:val="32"/>
          <w:szCs w:val="32"/>
        </w:rPr>
        <w:t>企</w:t>
      </w:r>
      <w:r>
        <w:rPr>
          <w:rFonts w:eastAsia="仿宋_GB2312"/>
          <w:sz w:val="32"/>
          <w:szCs w:val="32"/>
        </w:rPr>
        <w:t>业参考品的设置建议如下：</w:t>
      </w:r>
    </w:p>
    <w:p>
      <w:pPr>
        <w:spacing w:line="520" w:lineRule="exact"/>
        <w:ind w:firstLine="640" w:firstLineChars="200"/>
        <w:rPr>
          <w:rFonts w:eastAsia="仿宋_GB2312"/>
          <w:bCs/>
          <w:sz w:val="32"/>
          <w:szCs w:val="32"/>
        </w:rPr>
      </w:pPr>
      <w:r>
        <w:rPr>
          <w:rFonts w:eastAsia="仿宋_GB2312"/>
          <w:bCs/>
          <w:sz w:val="32"/>
          <w:szCs w:val="32"/>
        </w:rPr>
        <w:t>阳性参考品：根据</w:t>
      </w:r>
      <w:r>
        <w:rPr>
          <w:rFonts w:eastAsia="仿宋_GB2312"/>
          <w:sz w:val="32"/>
          <w:szCs w:val="32"/>
        </w:rPr>
        <w:t>检测范围</w:t>
      </w:r>
      <w:r>
        <w:rPr>
          <w:rFonts w:eastAsia="仿宋_GB2312"/>
          <w:bCs/>
          <w:sz w:val="32"/>
          <w:szCs w:val="32"/>
        </w:rPr>
        <w:t>设置不同基因亚型（应涵盖我国常见亚型，至少包括</w:t>
      </w:r>
      <w:r>
        <w:rPr>
          <w:rFonts w:eastAsia="仿宋_GB2312"/>
          <w:i/>
          <w:sz w:val="32"/>
          <w:szCs w:val="32"/>
        </w:rPr>
        <w:t>bla</w:t>
      </w:r>
      <w:r>
        <w:rPr>
          <w:rFonts w:eastAsia="仿宋_GB2312"/>
          <w:sz w:val="32"/>
          <w:szCs w:val="32"/>
          <w:vertAlign w:val="subscript"/>
        </w:rPr>
        <w:t>KPC-2</w:t>
      </w:r>
      <w:r>
        <w:rPr>
          <w:rFonts w:eastAsia="仿宋_GB2312"/>
          <w:bCs/>
          <w:sz w:val="32"/>
          <w:szCs w:val="32"/>
        </w:rPr>
        <w:t>），并覆盖不同浓度。阳性参考品的亚型以及浓度需经可靠方法进行确认。</w:t>
      </w:r>
    </w:p>
    <w:p>
      <w:pPr>
        <w:spacing w:line="520" w:lineRule="exact"/>
        <w:ind w:firstLine="640" w:firstLineChars="200"/>
        <w:rPr>
          <w:rFonts w:eastAsia="仿宋_GB2312"/>
          <w:bCs/>
          <w:sz w:val="32"/>
          <w:szCs w:val="32"/>
        </w:rPr>
      </w:pPr>
      <w:r>
        <w:rPr>
          <w:rFonts w:eastAsia="仿宋_GB2312"/>
          <w:bCs/>
          <w:sz w:val="32"/>
          <w:szCs w:val="32"/>
        </w:rPr>
        <w:t>阴性参考品：应包括不含</w:t>
      </w:r>
      <w:r>
        <w:rPr>
          <w:rFonts w:eastAsia="仿宋_GB2312"/>
          <w:bCs/>
          <w:i/>
          <w:sz w:val="32"/>
          <w:szCs w:val="32"/>
        </w:rPr>
        <w:t>bla</w:t>
      </w:r>
      <w:r>
        <w:rPr>
          <w:rFonts w:eastAsia="仿宋_GB2312"/>
          <w:bCs/>
          <w:sz w:val="32"/>
          <w:szCs w:val="32"/>
          <w:vertAlign w:val="subscript"/>
        </w:rPr>
        <w:t>KPC</w:t>
      </w:r>
      <w:r>
        <w:rPr>
          <w:rFonts w:eastAsia="仿宋_GB2312"/>
          <w:bCs/>
          <w:sz w:val="32"/>
          <w:szCs w:val="32"/>
        </w:rPr>
        <w:t>的阴性样本。</w:t>
      </w:r>
      <w:r>
        <w:rPr>
          <w:rFonts w:hint="eastAsia" w:eastAsia="仿宋_GB2312"/>
          <w:bCs/>
          <w:sz w:val="32"/>
          <w:szCs w:val="32"/>
        </w:rPr>
        <w:t>建议纳入多个菌种。</w:t>
      </w:r>
    </w:p>
    <w:p>
      <w:pPr>
        <w:spacing w:line="520" w:lineRule="exact"/>
        <w:ind w:firstLine="640" w:firstLineChars="200"/>
        <w:rPr>
          <w:rFonts w:eastAsia="仿宋_GB2312"/>
          <w:sz w:val="32"/>
          <w:szCs w:val="32"/>
        </w:rPr>
      </w:pPr>
      <w:r>
        <w:rPr>
          <w:rFonts w:eastAsia="仿宋_GB2312"/>
          <w:sz w:val="32"/>
          <w:szCs w:val="32"/>
        </w:rPr>
        <w:t>检出限参考品：设置略高于检出限（如100%阳性检出率）的水平。</w:t>
      </w:r>
    </w:p>
    <w:p>
      <w:pPr>
        <w:spacing w:line="520" w:lineRule="exact"/>
        <w:ind w:firstLine="640" w:firstLineChars="200"/>
        <w:rPr>
          <w:rFonts w:eastAsia="仿宋_GB2312"/>
          <w:sz w:val="32"/>
          <w:szCs w:val="32"/>
        </w:rPr>
      </w:pPr>
      <w:r>
        <w:rPr>
          <w:rFonts w:eastAsia="仿宋_GB2312"/>
          <w:sz w:val="32"/>
          <w:szCs w:val="32"/>
        </w:rPr>
        <w:t>精密度参考品：设置高、低两个浓度的样本，其中一个浓度应为检出限附近的浓度。如有必要，建议同时设置阴性浓度的参考品。</w:t>
      </w:r>
    </w:p>
    <w:p>
      <w:pPr>
        <w:adjustRightInd w:val="0"/>
        <w:spacing w:line="520" w:lineRule="exact"/>
        <w:ind w:firstLine="640" w:firstLineChars="200"/>
        <w:outlineLvl w:val="1"/>
        <w:rPr>
          <w:rFonts w:eastAsia="仿宋_GB2312"/>
          <w:sz w:val="32"/>
          <w:szCs w:val="32"/>
        </w:rPr>
      </w:pPr>
      <w:bookmarkStart w:id="5" w:name="_Toc342306965"/>
      <w:r>
        <w:rPr>
          <w:rFonts w:eastAsia="仿宋_GB2312"/>
          <w:sz w:val="32"/>
          <w:szCs w:val="32"/>
        </w:rPr>
        <w:t>5.2生产工艺研究资料</w:t>
      </w:r>
      <w:bookmarkEnd w:id="5"/>
    </w:p>
    <w:p>
      <w:pPr>
        <w:snapToGrid w:val="0"/>
        <w:spacing w:line="520" w:lineRule="exact"/>
        <w:ind w:firstLine="640" w:firstLineChars="200"/>
        <w:rPr>
          <w:rFonts w:eastAsia="仿宋_GB2312"/>
          <w:sz w:val="32"/>
          <w:szCs w:val="32"/>
        </w:rPr>
      </w:pPr>
      <w:r>
        <w:rPr>
          <w:rFonts w:eastAsia="仿宋_GB2312"/>
          <w:sz w:val="32"/>
          <w:szCs w:val="32"/>
        </w:rPr>
        <w:t>介绍产品主要生产工艺，可用流程图结合文字的方式表述并标明关键工艺质控步骤。提交主要生产工艺的确定及优化研究资料。</w:t>
      </w:r>
    </w:p>
    <w:p>
      <w:pPr>
        <w:numPr>
          <w:ilvl w:val="0"/>
          <w:numId w:val="1"/>
        </w:numPr>
        <w:spacing w:line="520" w:lineRule="exact"/>
        <w:ind w:firstLine="640" w:firstLineChars="200"/>
        <w:contextualSpacing/>
        <w:rPr>
          <w:rFonts w:eastAsia="楷体_GB2312"/>
          <w:kern w:val="0"/>
          <w:sz w:val="32"/>
          <w:szCs w:val="32"/>
        </w:rPr>
      </w:pPr>
      <w:r>
        <w:rPr>
          <w:rFonts w:eastAsia="楷体_GB2312"/>
          <w:kern w:val="0"/>
          <w:sz w:val="32"/>
          <w:szCs w:val="32"/>
        </w:rPr>
        <w:t>临床试验</w:t>
      </w:r>
    </w:p>
    <w:p>
      <w:pPr>
        <w:spacing w:line="520" w:lineRule="exact"/>
        <w:ind w:firstLine="640" w:firstLineChars="200"/>
        <w:rPr>
          <w:rFonts w:eastAsia="仿宋_GB2312"/>
          <w:sz w:val="32"/>
          <w:szCs w:val="32"/>
        </w:rPr>
      </w:pPr>
      <w:r>
        <w:rPr>
          <w:rFonts w:eastAsia="仿宋_GB2312"/>
          <w:sz w:val="32"/>
          <w:szCs w:val="32"/>
        </w:rPr>
        <w:t>临床试验的开展、方案的制定以及报告的撰写等均应符合相关法规及《体外诊断试剂临床试验技术指导原则》的要求，如相关法规、文件有更新，临床试验应符合更新后的要求。</w:t>
      </w:r>
    </w:p>
    <w:p>
      <w:pPr>
        <w:spacing w:line="520" w:lineRule="exact"/>
        <w:ind w:firstLine="640" w:firstLineChars="200"/>
        <w:rPr>
          <w:rFonts w:eastAsia="仿宋_GB2312"/>
          <w:sz w:val="32"/>
          <w:szCs w:val="32"/>
        </w:rPr>
      </w:pPr>
      <w:r>
        <w:rPr>
          <w:rFonts w:eastAsia="仿宋_GB2312"/>
          <w:sz w:val="32"/>
          <w:szCs w:val="32"/>
        </w:rPr>
        <w:t>1.临床试验机构的选择</w:t>
      </w:r>
    </w:p>
    <w:p>
      <w:pPr>
        <w:spacing w:line="520" w:lineRule="exact"/>
        <w:ind w:firstLine="640" w:firstLineChars="200"/>
        <w:rPr>
          <w:rFonts w:eastAsia="仿宋_GB2312"/>
          <w:sz w:val="32"/>
          <w:szCs w:val="32"/>
        </w:rPr>
      </w:pPr>
      <w:r>
        <w:rPr>
          <w:rFonts w:eastAsia="仿宋_GB2312"/>
          <w:kern w:val="0"/>
          <w:sz w:val="32"/>
          <w:szCs w:val="32"/>
        </w:rPr>
        <w:t>应选择不少于3家（含3家）</w:t>
      </w:r>
      <w:r>
        <w:rPr>
          <w:rFonts w:eastAsia="仿宋_GB2312"/>
          <w:sz w:val="32"/>
          <w:szCs w:val="32"/>
        </w:rPr>
        <w:t>经备案的医疗器械临床试验机构</w:t>
      </w:r>
      <w:r>
        <w:rPr>
          <w:rFonts w:eastAsia="仿宋_GB2312"/>
          <w:kern w:val="0"/>
          <w:sz w:val="32"/>
          <w:szCs w:val="32"/>
        </w:rPr>
        <w:t>，按照相关法规、指导原则的要求开展临床试验。临床试验机构的选择应尽量考虑拟申报产品的特点和预期用途，综合流行病学背景，鉴于不同地区及医疗机构中碳青霉烯抗生素耐药菌流行情况的差异，应选择不同地区的临床试验机构开展临床试验。且临床试验机构应具有分子生物学方法检测的优势，实验操作人员应有足够的时间熟悉检测系统的各环节，熟悉评价方案</w:t>
      </w:r>
      <w:r>
        <w:rPr>
          <w:rFonts w:eastAsia="仿宋_GB2312"/>
          <w:sz w:val="32"/>
          <w:szCs w:val="32"/>
        </w:rPr>
        <w:t>。</w:t>
      </w:r>
    </w:p>
    <w:p>
      <w:pPr>
        <w:spacing w:line="520" w:lineRule="exact"/>
        <w:ind w:firstLine="640" w:firstLineChars="200"/>
        <w:rPr>
          <w:rFonts w:eastAsia="仿宋_GB2312"/>
          <w:sz w:val="32"/>
          <w:szCs w:val="32"/>
        </w:rPr>
      </w:pPr>
      <w:r>
        <w:rPr>
          <w:rFonts w:eastAsia="仿宋_GB2312"/>
          <w:sz w:val="32"/>
          <w:szCs w:val="32"/>
        </w:rPr>
        <w:t>2.临床试验设计</w:t>
      </w:r>
    </w:p>
    <w:p>
      <w:pPr>
        <w:spacing w:line="520" w:lineRule="exact"/>
        <w:ind w:firstLine="640" w:firstLineChars="200"/>
        <w:rPr>
          <w:rFonts w:eastAsia="仿宋_GB2312"/>
          <w:sz w:val="32"/>
          <w:szCs w:val="32"/>
        </w:rPr>
      </w:pPr>
      <w:r>
        <w:rPr>
          <w:rFonts w:eastAsia="仿宋_GB2312"/>
          <w:sz w:val="32"/>
          <w:szCs w:val="32"/>
        </w:rPr>
        <w:t>有已上市同类产品的，建议选择已上市同类产品作为对比试剂进行比较研究。对比试剂在预期用途、适用人群、样本类型、检测方法学、检测性能</w:t>
      </w:r>
      <w:r>
        <w:rPr>
          <w:rFonts w:hint="eastAsia" w:eastAsia="仿宋_GB2312"/>
          <w:sz w:val="32"/>
          <w:szCs w:val="32"/>
        </w:rPr>
        <w:t>、</w:t>
      </w:r>
      <w:r>
        <w:rPr>
          <w:rFonts w:eastAsia="仿宋_GB2312"/>
          <w:sz w:val="32"/>
          <w:szCs w:val="32"/>
        </w:rPr>
        <w:t>检测基因靶序列</w:t>
      </w:r>
      <w:r>
        <w:rPr>
          <w:rFonts w:hint="eastAsia" w:eastAsia="仿宋_GB2312"/>
          <w:sz w:val="32"/>
          <w:szCs w:val="32"/>
        </w:rPr>
        <w:t>以及</w:t>
      </w:r>
      <w:r>
        <w:rPr>
          <w:rFonts w:eastAsia="仿宋_GB2312"/>
          <w:sz w:val="32"/>
          <w:szCs w:val="32"/>
        </w:rPr>
        <w:t>覆盖基因型</w:t>
      </w:r>
      <w:r>
        <w:rPr>
          <w:rFonts w:hint="eastAsia" w:eastAsia="仿宋_GB2312"/>
          <w:sz w:val="32"/>
          <w:szCs w:val="32"/>
        </w:rPr>
        <w:t>和</w:t>
      </w:r>
      <w:r>
        <w:rPr>
          <w:rFonts w:eastAsia="仿宋_GB2312"/>
          <w:sz w:val="32"/>
          <w:szCs w:val="32"/>
        </w:rPr>
        <w:t>突变型等方面应与试验体外诊断试剂具有较好的可比性。</w:t>
      </w:r>
    </w:p>
    <w:p>
      <w:pPr>
        <w:spacing w:line="520" w:lineRule="exact"/>
        <w:ind w:firstLine="640" w:firstLineChars="200"/>
        <w:rPr>
          <w:rFonts w:eastAsia="仿宋_GB2312"/>
          <w:sz w:val="32"/>
          <w:szCs w:val="32"/>
        </w:rPr>
      </w:pPr>
      <w:r>
        <w:rPr>
          <w:rFonts w:eastAsia="仿宋_GB2312"/>
          <w:sz w:val="32"/>
          <w:szCs w:val="32"/>
        </w:rPr>
        <w:t>针对新样本类型，则可选择与Sanger测序以及药敏试验进行比较研究。应注意，药敏试验应选择代表性碳青霉烯类抗生素，至少应包括美罗培南、亚胺培南及厄他培南。</w:t>
      </w:r>
    </w:p>
    <w:p>
      <w:pPr>
        <w:spacing w:line="520" w:lineRule="exact"/>
        <w:ind w:firstLine="640" w:firstLineChars="200"/>
        <w:rPr>
          <w:rFonts w:eastAsia="仿宋_GB2312"/>
          <w:sz w:val="32"/>
          <w:szCs w:val="32"/>
        </w:rPr>
      </w:pPr>
      <w:r>
        <w:rPr>
          <w:rFonts w:eastAsia="仿宋_GB2312"/>
          <w:sz w:val="32"/>
          <w:szCs w:val="32"/>
        </w:rPr>
        <w:t>针对不同样本类型对应的不同预期用途，应分别设计临床试验进行研究。</w:t>
      </w:r>
    </w:p>
    <w:p>
      <w:pPr>
        <w:spacing w:line="520" w:lineRule="exact"/>
        <w:ind w:firstLine="640" w:firstLineChars="200"/>
        <w:rPr>
          <w:rFonts w:eastAsia="仿宋_GB2312"/>
          <w:sz w:val="32"/>
          <w:szCs w:val="32"/>
        </w:rPr>
      </w:pPr>
      <w:r>
        <w:rPr>
          <w:rFonts w:eastAsia="仿宋_GB2312"/>
          <w:sz w:val="32"/>
          <w:szCs w:val="32"/>
        </w:rPr>
        <w:t>3.病例选择及样本类型</w:t>
      </w:r>
    </w:p>
    <w:p>
      <w:pPr>
        <w:spacing w:line="520" w:lineRule="exact"/>
        <w:ind w:firstLine="640" w:firstLineChars="200"/>
        <w:rPr>
          <w:rFonts w:eastAsia="仿宋_GB2312"/>
          <w:sz w:val="32"/>
          <w:szCs w:val="32"/>
        </w:rPr>
      </w:pPr>
      <w:r>
        <w:rPr>
          <w:rFonts w:eastAsia="仿宋_GB2312"/>
          <w:sz w:val="32"/>
          <w:szCs w:val="32"/>
        </w:rPr>
        <w:t>临床试验病例选择应根据产品声称预期用途中使用的样本类型及适用人群进行选择，如临床背景内容中所述，该产品适用不同样本类型时对应不同的临床预期用途，采用直肠拭子样本的试剂用于碳青霉烯抗生素耐药菌院内感染的预防和控制时，应采用医疗机构中的住院病人包括重症监护病人、器官移植、造血干细胞移植等病例进行临床研究；采用痰液用于结合其他实验室检测等辅助诊断碳青霉烯抗生素耐药菌感染时，应采用疑似革兰氏阴性菌引起的院内获得性肺炎以及呼吸机相关肺炎等病例进行临床研究；采用分离菌落样本用于临床需进行培养检测的疑似碳青霉烯抗生素耐药菌感染患者的辅助诊断时，应采用临床需进行微生物培养并进行碳青霉烯抗生素耐药菌感染确认的患者作为病例进行临床研究。同时适用于上述不同样本类型时，应分别进行相关病例的临床研究。</w:t>
      </w:r>
    </w:p>
    <w:p>
      <w:pPr>
        <w:spacing w:line="520" w:lineRule="exact"/>
        <w:ind w:firstLine="640" w:firstLineChars="200"/>
        <w:rPr>
          <w:rFonts w:eastAsia="仿宋_GB2312"/>
          <w:sz w:val="32"/>
          <w:szCs w:val="32"/>
        </w:rPr>
      </w:pPr>
      <w:r>
        <w:rPr>
          <w:rFonts w:eastAsia="仿宋_GB2312"/>
          <w:sz w:val="32"/>
          <w:szCs w:val="32"/>
        </w:rPr>
        <w:t>申请人在建立病例纳入标准时，应综合考虑到试剂所适用的各类人群的潜在差异，如年龄、性别、病情等。</w:t>
      </w:r>
    </w:p>
    <w:p>
      <w:pPr>
        <w:spacing w:line="520" w:lineRule="exact"/>
        <w:ind w:firstLine="640" w:firstLineChars="200"/>
        <w:rPr>
          <w:rFonts w:eastAsia="仿宋_GB2312"/>
          <w:sz w:val="32"/>
          <w:szCs w:val="32"/>
        </w:rPr>
      </w:pPr>
      <w:r>
        <w:rPr>
          <w:rFonts w:eastAsia="仿宋_GB2312"/>
          <w:sz w:val="32"/>
          <w:szCs w:val="32"/>
        </w:rPr>
        <w:t>临床试验中常见的肠杆菌目细菌均应有一定例数入组，还应入组一部分铜绿假单胞菌、鲍曼不动杆菌等细菌感染病例。</w:t>
      </w:r>
    </w:p>
    <w:p>
      <w:pPr>
        <w:spacing w:line="520" w:lineRule="exact"/>
        <w:ind w:firstLine="640" w:firstLineChars="200"/>
        <w:rPr>
          <w:rFonts w:eastAsia="仿宋_GB2312"/>
          <w:sz w:val="32"/>
          <w:szCs w:val="32"/>
        </w:rPr>
      </w:pPr>
      <w:r>
        <w:rPr>
          <w:rFonts w:eastAsia="仿宋_GB2312"/>
          <w:sz w:val="32"/>
          <w:szCs w:val="32"/>
        </w:rPr>
        <w:t>针对分离菌落样本，应为来源于患者感染部位的菌落。</w:t>
      </w:r>
    </w:p>
    <w:p>
      <w:pPr>
        <w:spacing w:line="520" w:lineRule="exact"/>
        <w:ind w:firstLine="640" w:firstLineChars="200"/>
        <w:rPr>
          <w:rFonts w:eastAsia="仿宋_GB2312"/>
          <w:sz w:val="32"/>
          <w:szCs w:val="32"/>
        </w:rPr>
      </w:pPr>
      <w:r>
        <w:rPr>
          <w:rFonts w:eastAsia="仿宋_GB2312"/>
          <w:sz w:val="32"/>
          <w:szCs w:val="32"/>
        </w:rPr>
        <w:t>对于直肠拭子和痰液样本，与已上市同类产品比较时，应注意入组一部分弱阳性样本 (一般将对比试剂检测的Ct值小于cutoff值3～5个Ct值的样本定义为弱阳性样本)，弱阳性样本应覆盖每种样本类型。</w:t>
      </w:r>
    </w:p>
    <w:p>
      <w:pPr>
        <w:spacing w:line="520" w:lineRule="exact"/>
        <w:ind w:firstLine="640" w:firstLineChars="200"/>
        <w:rPr>
          <w:rFonts w:eastAsia="仿宋_GB2312"/>
          <w:sz w:val="32"/>
          <w:szCs w:val="32"/>
        </w:rPr>
      </w:pPr>
      <w:r>
        <w:rPr>
          <w:rFonts w:eastAsia="仿宋_GB2312"/>
          <w:sz w:val="32"/>
          <w:szCs w:val="32"/>
        </w:rPr>
        <w:t>4.临床试验病例数</w:t>
      </w:r>
    </w:p>
    <w:p>
      <w:pPr>
        <w:spacing w:line="520" w:lineRule="exact"/>
        <w:ind w:firstLine="640" w:firstLineChars="200"/>
        <w:rPr>
          <w:rFonts w:eastAsia="仿宋_GB2312"/>
          <w:sz w:val="32"/>
          <w:szCs w:val="32"/>
        </w:rPr>
      </w:pPr>
      <w:r>
        <w:rPr>
          <w:rFonts w:eastAsia="仿宋_GB2312"/>
          <w:sz w:val="32"/>
          <w:szCs w:val="32"/>
        </w:rPr>
        <w:t>与对比试剂或</w:t>
      </w:r>
      <w:r>
        <w:rPr>
          <w:rFonts w:hint="eastAsia" w:eastAsia="仿宋_GB2312"/>
          <w:sz w:val="32"/>
          <w:szCs w:val="32"/>
        </w:rPr>
        <w:t>与</w:t>
      </w:r>
      <w:r>
        <w:rPr>
          <w:rFonts w:eastAsia="仿宋_GB2312"/>
          <w:sz w:val="32"/>
          <w:szCs w:val="32"/>
        </w:rPr>
        <w:t>Sanger测序的比较研究的临床试验样本量应满足统计学要求，可采用适当的统计学方法进行估算。临床试验可依据试验用体外诊断试剂相对于对比方法的阴阳性符合率分别估算最低阴阳性样本例数。</w:t>
      </w:r>
    </w:p>
    <w:p>
      <w:pPr>
        <w:spacing w:line="520" w:lineRule="exact"/>
        <w:ind w:firstLine="640" w:firstLineChars="200"/>
        <w:rPr>
          <w:rFonts w:eastAsia="仿宋_GB2312"/>
          <w:sz w:val="32"/>
          <w:szCs w:val="32"/>
        </w:rPr>
      </w:pPr>
      <w:r>
        <w:rPr>
          <w:rFonts w:eastAsia="仿宋_GB2312"/>
          <w:sz w:val="32"/>
          <w:szCs w:val="32"/>
        </w:rPr>
        <w:t>临床样本量的估算建议采用如下样本量公式计算，</w:t>
      </w:r>
      <w:r>
        <w:rPr>
          <w:rFonts w:eastAsia="仿宋_GB2312"/>
          <w:sz w:val="32"/>
          <w:szCs w:val="32"/>
        </w:rPr>
        <w:drawing>
          <wp:anchor distT="0" distB="0" distL="114300" distR="114300" simplePos="0" relativeHeight="251660288" behindDoc="0" locked="0" layoutInCell="1" allowOverlap="1">
            <wp:simplePos x="0" y="0"/>
            <wp:positionH relativeFrom="column">
              <wp:posOffset>584200</wp:posOffset>
            </wp:positionH>
            <wp:positionV relativeFrom="paragraph">
              <wp:posOffset>287655</wp:posOffset>
            </wp:positionV>
            <wp:extent cx="3475990" cy="789940"/>
            <wp:effectExtent l="0" t="0" r="1397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475990" cy="789940"/>
                    </a:xfrm>
                    <a:prstGeom prst="rect">
                      <a:avLst/>
                    </a:prstGeom>
                    <a:noFill/>
                    <a:ln>
                      <a:noFill/>
                    </a:ln>
                  </pic:spPr>
                </pic:pic>
              </a:graphicData>
            </a:graphic>
          </wp:anchor>
        </w:drawing>
      </w:r>
    </w:p>
    <w:p>
      <w:pPr>
        <w:spacing w:line="520" w:lineRule="exact"/>
        <w:ind w:firstLine="640" w:firstLineChars="200"/>
        <w:rPr>
          <w:rFonts w:eastAsia="仿宋_GB2312"/>
          <w:sz w:val="32"/>
          <w:szCs w:val="32"/>
        </w:rPr>
      </w:pPr>
      <w:r>
        <w:rPr>
          <w:rFonts w:eastAsia="仿宋_GB2312"/>
          <w:sz w:val="32"/>
          <w:szCs w:val="32"/>
        </w:rPr>
        <w:t xml:space="preserve"> </w:t>
      </w:r>
    </w:p>
    <w:p>
      <w:pPr>
        <w:spacing w:line="520" w:lineRule="exact"/>
        <w:ind w:firstLine="640" w:firstLineChars="200"/>
        <w:rPr>
          <w:rFonts w:eastAsia="仿宋_GB2312"/>
          <w:sz w:val="32"/>
          <w:szCs w:val="32"/>
        </w:rPr>
      </w:pPr>
      <w:r>
        <w:rPr>
          <w:rFonts w:eastAsia="仿宋_GB2312"/>
          <w:sz w:val="32"/>
          <w:szCs w:val="32"/>
        </w:rPr>
        <w:t xml:space="preserve"> </w:t>
      </w:r>
    </w:p>
    <w:p>
      <w:pPr>
        <w:spacing w:line="520" w:lineRule="exact"/>
        <w:ind w:firstLine="640" w:firstLineChars="200"/>
        <w:rPr>
          <w:rFonts w:eastAsia="仿宋_GB2312"/>
          <w:sz w:val="32"/>
          <w:szCs w:val="32"/>
        </w:rPr>
      </w:pPr>
      <w:r>
        <w:rPr>
          <w:rFonts w:eastAsia="仿宋_GB2312"/>
          <w:sz w:val="32"/>
          <w:szCs w:val="32"/>
        </w:rPr>
        <w:t xml:space="preserve"> </w:t>
      </w:r>
    </w:p>
    <w:p>
      <w:pPr>
        <w:spacing w:line="520" w:lineRule="exact"/>
        <w:ind w:firstLine="640" w:firstLineChars="200"/>
        <w:rPr>
          <w:rFonts w:eastAsia="仿宋_GB2312"/>
          <w:sz w:val="32"/>
          <w:szCs w:val="32"/>
        </w:rPr>
      </w:pPr>
      <w:r>
        <w:rPr>
          <w:rFonts w:eastAsia="仿宋_GB2312"/>
          <w:sz w:val="32"/>
          <w:szCs w:val="32"/>
        </w:rPr>
        <w:t>公式中，n为样本量；Z</w:t>
      </w:r>
      <w:r>
        <w:rPr>
          <w:rFonts w:eastAsia="仿宋_GB2312"/>
          <w:sz w:val="32"/>
          <w:szCs w:val="32"/>
          <w:vertAlign w:val="subscript"/>
        </w:rPr>
        <w:t>1-α/2</w:t>
      </w:r>
      <w:r>
        <w:rPr>
          <w:rFonts w:eastAsia="仿宋_GB2312"/>
          <w:sz w:val="32"/>
          <w:szCs w:val="32"/>
        </w:rPr>
        <w:t>、Z</w:t>
      </w:r>
      <w:r>
        <w:rPr>
          <w:rFonts w:eastAsia="仿宋_GB2312"/>
          <w:sz w:val="32"/>
          <w:szCs w:val="32"/>
          <w:vertAlign w:val="subscript"/>
        </w:rPr>
        <w:t>1-β</w:t>
      </w:r>
      <w:r>
        <w:rPr>
          <w:rFonts w:eastAsia="仿宋_GB2312"/>
          <w:sz w:val="32"/>
          <w:szCs w:val="32"/>
        </w:rPr>
        <w:t>为显著性水平和把握度的标准正态分布的分数位，P</w:t>
      </w:r>
      <w:r>
        <w:rPr>
          <w:rFonts w:eastAsia="仿宋_GB2312"/>
          <w:sz w:val="32"/>
          <w:szCs w:val="32"/>
          <w:vertAlign w:val="subscript"/>
        </w:rPr>
        <w:t>0</w:t>
      </w:r>
      <w:r>
        <w:rPr>
          <w:rFonts w:eastAsia="仿宋_GB2312"/>
          <w:sz w:val="32"/>
          <w:szCs w:val="32"/>
        </w:rPr>
        <w:t>为评价指标的临床可接受标准，P</w:t>
      </w:r>
      <w:r>
        <w:rPr>
          <w:rFonts w:eastAsia="仿宋_GB2312"/>
          <w:sz w:val="32"/>
          <w:szCs w:val="32"/>
          <w:vertAlign w:val="subscript"/>
        </w:rPr>
        <w:t>T</w:t>
      </w:r>
      <w:r>
        <w:rPr>
          <w:rFonts w:eastAsia="仿宋_GB2312"/>
          <w:sz w:val="32"/>
          <w:szCs w:val="32"/>
        </w:rPr>
        <w:t>为试验体外诊断试剂评价指标预期值。其中，阴、阳性符合率的临床可接受标准（P</w:t>
      </w:r>
      <w:r>
        <w:rPr>
          <w:rFonts w:eastAsia="仿宋_GB2312"/>
          <w:sz w:val="32"/>
          <w:szCs w:val="32"/>
          <w:vertAlign w:val="subscript"/>
        </w:rPr>
        <w:t>0</w:t>
      </w:r>
      <w:r>
        <w:rPr>
          <w:rFonts w:eastAsia="仿宋_GB2312"/>
          <w:sz w:val="32"/>
          <w:szCs w:val="32"/>
        </w:rPr>
        <w:t>）建议不低于90%。</w:t>
      </w:r>
    </w:p>
    <w:p>
      <w:pPr>
        <w:spacing w:line="520" w:lineRule="exact"/>
        <w:ind w:firstLine="640" w:firstLineChars="200"/>
        <w:rPr>
          <w:rFonts w:eastAsia="仿宋_GB2312"/>
          <w:kern w:val="0"/>
          <w:sz w:val="32"/>
          <w:szCs w:val="32"/>
        </w:rPr>
      </w:pPr>
      <w:r>
        <w:rPr>
          <w:rFonts w:eastAsia="仿宋_GB2312"/>
          <w:sz w:val="32"/>
          <w:szCs w:val="32"/>
        </w:rPr>
        <w:t>临床试验总体样本量确定时应在上述阴、阳性样本最低样本量估算的基础上，同时考虑其他可能造成受试者脱落的情况适当增加入组样本量。</w:t>
      </w:r>
    </w:p>
    <w:p>
      <w:pPr>
        <w:spacing w:line="520" w:lineRule="exact"/>
        <w:ind w:firstLine="640" w:firstLineChars="200"/>
        <w:rPr>
          <w:rFonts w:eastAsia="仿宋_GB2312"/>
          <w:sz w:val="32"/>
          <w:szCs w:val="32"/>
        </w:rPr>
      </w:pPr>
      <w:r>
        <w:rPr>
          <w:rFonts w:eastAsia="仿宋_GB2312"/>
          <w:sz w:val="32"/>
          <w:szCs w:val="32"/>
        </w:rPr>
        <w:t>因不同样本类型适用不同预期用途，因此针对每一种预期用途临床试验的病例数均应分别满足上述统计学要求。</w:t>
      </w:r>
    </w:p>
    <w:p>
      <w:pPr>
        <w:spacing w:line="520" w:lineRule="exact"/>
        <w:ind w:firstLine="640" w:firstLineChars="200"/>
        <w:rPr>
          <w:rFonts w:eastAsia="仿宋_GB2312"/>
          <w:sz w:val="32"/>
          <w:szCs w:val="32"/>
        </w:rPr>
      </w:pPr>
      <w:r>
        <w:rPr>
          <w:rFonts w:eastAsia="仿宋_GB2312"/>
          <w:sz w:val="32"/>
          <w:szCs w:val="32"/>
        </w:rPr>
        <w:t>针对药敏试验，建议不少于300例，</w:t>
      </w:r>
      <w:r>
        <w:rPr>
          <w:rFonts w:hint="eastAsia" w:eastAsia="仿宋_GB2312"/>
          <w:sz w:val="32"/>
          <w:szCs w:val="32"/>
        </w:rPr>
        <w:t>应</w:t>
      </w:r>
      <w:r>
        <w:rPr>
          <w:rFonts w:eastAsia="仿宋_GB2312"/>
          <w:sz w:val="32"/>
          <w:szCs w:val="32"/>
        </w:rPr>
        <w:t>至少包括150例碳青霉烯类抗生素耐药菌和150例碳青霉烯类抗生</w:t>
      </w:r>
      <w:r>
        <w:rPr>
          <w:rFonts w:hint="eastAsia" w:eastAsia="仿宋_GB2312"/>
          <w:sz w:val="32"/>
          <w:szCs w:val="32"/>
        </w:rPr>
        <w:t>素</w:t>
      </w:r>
      <w:r>
        <w:rPr>
          <w:rFonts w:eastAsia="仿宋_GB2312"/>
          <w:sz w:val="32"/>
          <w:szCs w:val="32"/>
        </w:rPr>
        <w:t>敏感菌。应以</w:t>
      </w:r>
      <w:r>
        <w:rPr>
          <w:rFonts w:eastAsia="仿宋_GB2312"/>
          <w:bCs/>
          <w:i/>
          <w:sz w:val="32"/>
          <w:szCs w:val="32"/>
        </w:rPr>
        <w:t>bla</w:t>
      </w:r>
      <w:r>
        <w:rPr>
          <w:rFonts w:eastAsia="仿宋_GB2312"/>
          <w:bCs/>
          <w:sz w:val="32"/>
          <w:szCs w:val="32"/>
          <w:vertAlign w:val="subscript"/>
        </w:rPr>
        <w:t>KPC</w:t>
      </w:r>
      <w:r>
        <w:rPr>
          <w:rFonts w:eastAsia="仿宋_GB2312"/>
          <w:sz w:val="32"/>
          <w:szCs w:val="32"/>
        </w:rPr>
        <w:t>为主要耐药机制的细菌为主，并具有一定的菌种代表性。</w:t>
      </w:r>
    </w:p>
    <w:p>
      <w:pPr>
        <w:spacing w:line="520" w:lineRule="exact"/>
        <w:ind w:firstLine="640" w:firstLineChars="200"/>
        <w:rPr>
          <w:rFonts w:eastAsia="仿宋_GB2312"/>
          <w:sz w:val="32"/>
          <w:szCs w:val="32"/>
        </w:rPr>
      </w:pPr>
      <w:r>
        <w:rPr>
          <w:rFonts w:eastAsia="仿宋_GB2312"/>
          <w:sz w:val="32"/>
          <w:szCs w:val="32"/>
        </w:rPr>
        <w:t>5.统计学分析</w:t>
      </w:r>
    </w:p>
    <w:p>
      <w:pPr>
        <w:spacing w:line="520" w:lineRule="exact"/>
        <w:ind w:firstLine="640" w:firstLineChars="200"/>
        <w:rPr>
          <w:rFonts w:eastAsia="仿宋_GB2312"/>
          <w:sz w:val="32"/>
          <w:szCs w:val="32"/>
        </w:rPr>
      </w:pPr>
      <w:r>
        <w:rPr>
          <w:rFonts w:eastAsia="仿宋_GB2312"/>
          <w:sz w:val="32"/>
          <w:szCs w:val="32"/>
        </w:rPr>
        <w:t>首先应对入组人群的人口学进行分析，包括年龄、性别、临床诊断背景、纳入菌种等。临床试验中包含不同样本类型的，每个样本类型分别进行统计分析。</w:t>
      </w:r>
    </w:p>
    <w:p>
      <w:pPr>
        <w:spacing w:line="520" w:lineRule="exact"/>
        <w:ind w:firstLine="640" w:firstLineChars="200"/>
        <w:rPr>
          <w:rFonts w:eastAsia="仿宋_GB2312"/>
          <w:sz w:val="32"/>
          <w:szCs w:val="32"/>
        </w:rPr>
      </w:pPr>
      <w:r>
        <w:rPr>
          <w:rFonts w:eastAsia="仿宋_GB2312"/>
          <w:sz w:val="32"/>
          <w:szCs w:val="32"/>
        </w:rPr>
        <w:t>对临床试验结果的统计应选择合适的统计方法，如阳性符合率、阴性符合率、临床灵敏度、特异度等。常选择四格表的形式总结两种方法的定性检测结果，并计算试验体外诊断试剂与对比方法的阳性符合率/灵敏度、阴性符合率/特异度、总符合率及其相应的95%置信区间。</w:t>
      </w:r>
    </w:p>
    <w:p>
      <w:pPr>
        <w:spacing w:line="520" w:lineRule="exact"/>
        <w:ind w:firstLine="640" w:firstLineChars="200"/>
        <w:rPr>
          <w:rFonts w:eastAsia="仿宋_GB2312"/>
          <w:sz w:val="32"/>
          <w:szCs w:val="32"/>
        </w:rPr>
      </w:pPr>
      <w:r>
        <w:rPr>
          <w:rFonts w:eastAsia="仿宋_GB2312"/>
          <w:sz w:val="32"/>
          <w:szCs w:val="32"/>
        </w:rPr>
        <w:t>针对纳入的不同菌株，如肠杆菌目（肺炎克雷伯菌、大肠埃希菌等）、铜绿假单胞菌、鲍曼不动杆菌进行亚组分析。</w:t>
      </w:r>
    </w:p>
    <w:p>
      <w:pPr>
        <w:spacing w:line="520" w:lineRule="exact"/>
        <w:ind w:firstLine="640" w:firstLineChars="200"/>
        <w:rPr>
          <w:rFonts w:eastAsia="仿宋_GB2312"/>
          <w:sz w:val="32"/>
          <w:szCs w:val="32"/>
        </w:rPr>
      </w:pPr>
      <w:r>
        <w:rPr>
          <w:rFonts w:eastAsia="仿宋_GB2312"/>
          <w:sz w:val="32"/>
          <w:szCs w:val="32"/>
        </w:rPr>
        <w:t>临床试验中所有不一致结果均应结合其他方法的检测结果、患者的临床症状、疾病转归等信息进行充分的分析。</w:t>
      </w:r>
    </w:p>
    <w:p>
      <w:pPr>
        <w:spacing w:line="520" w:lineRule="exact"/>
        <w:ind w:firstLine="640" w:firstLineChars="200"/>
        <w:rPr>
          <w:rFonts w:eastAsia="仿宋_GB2312"/>
          <w:sz w:val="32"/>
          <w:szCs w:val="32"/>
        </w:rPr>
      </w:pPr>
      <w:r>
        <w:rPr>
          <w:rFonts w:eastAsia="仿宋_GB2312"/>
          <w:sz w:val="32"/>
          <w:szCs w:val="32"/>
        </w:rPr>
        <w:t>6.临床试验方案</w:t>
      </w:r>
    </w:p>
    <w:p>
      <w:pPr>
        <w:spacing w:line="520" w:lineRule="exact"/>
        <w:ind w:firstLine="640" w:firstLineChars="200"/>
        <w:rPr>
          <w:rFonts w:eastAsia="仿宋_GB2312"/>
          <w:sz w:val="32"/>
          <w:szCs w:val="32"/>
        </w:rPr>
      </w:pPr>
      <w:r>
        <w:rPr>
          <w:rFonts w:eastAsia="仿宋_GB2312"/>
          <w:sz w:val="32"/>
          <w:szCs w:val="32"/>
        </w:rPr>
        <w:t>临床试验实施前，研究人员应从流行病学、统计学、临床医学、检验医学等多方面考虑，设计科学合理的临床研究方案。各临床研究机构的方案设置应基本一致，且保证在整个临床试验过程中遵循预定的方案实施，不可随意改动。整个试验过程应在临床研究机构的实验室内并由本实验室的技术人员操作完成，申报单位的技术人员除进行必要的技术指导外，不得随意干涉实验进程，尤其是数据收集过程。</w:t>
      </w:r>
    </w:p>
    <w:p>
      <w:pPr>
        <w:spacing w:line="520" w:lineRule="exact"/>
        <w:ind w:firstLine="640" w:firstLineChars="200"/>
        <w:rPr>
          <w:rFonts w:eastAsia="仿宋_GB2312"/>
          <w:sz w:val="32"/>
          <w:szCs w:val="32"/>
        </w:rPr>
      </w:pPr>
      <w:r>
        <w:rPr>
          <w:rFonts w:eastAsia="仿宋_GB2312"/>
          <w:sz w:val="32"/>
          <w:szCs w:val="32"/>
        </w:rPr>
        <w:t>试验方案中应确定严格的病例纳入/排除标准，任何已经入选的病例再被剔除出临床研究都应记录在案并明确说明原因。在试验操作过程中和判定试验结果时应采用盲法以保证试验结果的客观性。</w:t>
      </w:r>
    </w:p>
    <w:p>
      <w:pPr>
        <w:spacing w:line="520" w:lineRule="exact"/>
        <w:ind w:firstLine="640" w:firstLineChars="200"/>
        <w:rPr>
          <w:rFonts w:eastAsia="仿宋_GB2312"/>
          <w:kern w:val="0"/>
          <w:sz w:val="32"/>
          <w:szCs w:val="32"/>
        </w:rPr>
      </w:pPr>
      <w:r>
        <w:rPr>
          <w:rFonts w:eastAsia="仿宋_GB2312"/>
          <w:kern w:val="0"/>
          <w:sz w:val="32"/>
          <w:szCs w:val="32"/>
        </w:rPr>
        <w:t>7.质量控制</w:t>
      </w:r>
    </w:p>
    <w:p>
      <w:pPr>
        <w:spacing w:line="520" w:lineRule="exact"/>
        <w:ind w:firstLine="640" w:firstLineChars="200"/>
        <w:rPr>
          <w:rFonts w:eastAsia="仿宋_GB2312"/>
          <w:kern w:val="0"/>
          <w:sz w:val="32"/>
          <w:szCs w:val="32"/>
        </w:rPr>
      </w:pPr>
      <w:r>
        <w:rPr>
          <w:rFonts w:eastAsia="仿宋_GB2312"/>
          <w:kern w:val="0"/>
          <w:sz w:val="32"/>
          <w:szCs w:val="32"/>
        </w:rPr>
        <w:t>临床试验开始前，建议进行临床试验的培训，以熟悉并掌握相关试验方法的操作、仪器、技术性能等，最大限度控制试验误差。整个试验过程都应处于有效的质量控制下，最大限度保证试验数据的准确性及可精密度精密度。</w:t>
      </w:r>
    </w:p>
    <w:p>
      <w:pPr>
        <w:spacing w:line="520" w:lineRule="exact"/>
        <w:ind w:firstLine="640" w:firstLineChars="200"/>
        <w:rPr>
          <w:rFonts w:eastAsia="仿宋_GB2312"/>
          <w:sz w:val="32"/>
          <w:szCs w:val="32"/>
        </w:rPr>
      </w:pPr>
      <w:r>
        <w:rPr>
          <w:rFonts w:eastAsia="仿宋_GB2312"/>
          <w:sz w:val="32"/>
          <w:szCs w:val="32"/>
        </w:rPr>
        <w:t>8.临床证据的形式要求</w:t>
      </w:r>
    </w:p>
    <w:p>
      <w:pPr>
        <w:spacing w:line="520" w:lineRule="exact"/>
        <w:ind w:firstLine="640" w:firstLineChars="200"/>
        <w:rPr>
          <w:rFonts w:eastAsia="仿宋_GB2312"/>
          <w:kern w:val="0"/>
          <w:sz w:val="32"/>
          <w:szCs w:val="32"/>
        </w:rPr>
      </w:pPr>
      <w:r>
        <w:rPr>
          <w:rFonts w:eastAsia="仿宋_GB2312"/>
          <w:kern w:val="0"/>
          <w:sz w:val="32"/>
          <w:szCs w:val="32"/>
        </w:rPr>
        <w:t>申请人应按照《体外诊断试剂注册与备案管理办法》《关于公布体外诊断试剂注册申报资料要求和批准证明文件格式的公告》等法规文件要求提交各机构伦理审查意见、临床试验方案、临床试验小结、临床试验报告以及临床试验数据库。</w:t>
      </w:r>
    </w:p>
    <w:p>
      <w:pPr>
        <w:spacing w:line="520" w:lineRule="exact"/>
        <w:ind w:firstLine="640" w:firstLineChars="200"/>
        <w:rPr>
          <w:rFonts w:eastAsia="仿宋_GB2312"/>
          <w:kern w:val="0"/>
          <w:sz w:val="32"/>
          <w:szCs w:val="32"/>
        </w:rPr>
      </w:pPr>
      <w:r>
        <w:rPr>
          <w:rFonts w:eastAsia="仿宋_GB2312"/>
          <w:kern w:val="0"/>
          <w:sz w:val="32"/>
          <w:szCs w:val="32"/>
        </w:rPr>
        <w:t>临床试验数据表作为临床试验小结的附件提交。数据表中应包括唯一且可溯源的样本编号、年龄、性别、样本类型、样本来源（适用于分离菌落样本）、临床诊断背景信息、试验体外诊断试剂检测结果、对比试剂的检测结果等。</w:t>
      </w:r>
    </w:p>
    <w:p>
      <w:pPr>
        <w:spacing w:line="520" w:lineRule="exact"/>
        <w:ind w:firstLine="640" w:firstLineChars="200"/>
        <w:rPr>
          <w:rFonts w:eastAsia="仿宋_GB2312"/>
          <w:kern w:val="0"/>
          <w:sz w:val="32"/>
          <w:szCs w:val="32"/>
        </w:rPr>
      </w:pPr>
      <w:r>
        <w:rPr>
          <w:rFonts w:eastAsia="仿宋_GB2312"/>
          <w:kern w:val="0"/>
          <w:sz w:val="32"/>
          <w:szCs w:val="32"/>
        </w:rPr>
        <w:t>关于测序试验，申请人应提供关于测序部分的详细试验资料，包括测序方法的建立及验证资料，需由临床试验机构签章确认。</w:t>
      </w:r>
    </w:p>
    <w:p>
      <w:pPr>
        <w:tabs>
          <w:tab w:val="left" w:pos="1259"/>
        </w:tabs>
        <w:spacing w:line="520" w:lineRule="exact"/>
        <w:ind w:firstLine="640" w:firstLineChars="200"/>
        <w:jc w:val="left"/>
        <w:rPr>
          <w:rFonts w:eastAsia="仿宋_GB2312"/>
          <w:sz w:val="32"/>
          <w:szCs w:val="32"/>
        </w:rPr>
      </w:pPr>
      <w:r>
        <w:rPr>
          <w:rFonts w:eastAsia="楷体_GB2312"/>
          <w:kern w:val="0"/>
          <w:sz w:val="32"/>
          <w:szCs w:val="32"/>
        </w:rPr>
        <w:t>（五）产品说明书和标签样稿</w:t>
      </w:r>
    </w:p>
    <w:p>
      <w:pPr>
        <w:spacing w:line="520" w:lineRule="exact"/>
        <w:ind w:firstLine="640" w:firstLineChars="200"/>
        <w:rPr>
          <w:rFonts w:eastAsia="仿宋_GB2312"/>
          <w:kern w:val="0"/>
          <w:sz w:val="32"/>
          <w:szCs w:val="32"/>
        </w:rPr>
      </w:pPr>
      <w:r>
        <w:rPr>
          <w:rFonts w:eastAsia="仿宋_GB2312"/>
          <w:kern w:val="0"/>
          <w:sz w:val="32"/>
          <w:szCs w:val="32"/>
        </w:rPr>
        <w:t>产品说明书格式应符合《体外诊断试剂说明书编写指导原则》的要求。产品说明书中技术内容均应与注册申报资料中的相关研究结果保持一致，如某些内容引用自参考文献，应以规范格式进行标注，并单独列明文献的相关信息。</w:t>
      </w:r>
    </w:p>
    <w:p>
      <w:pPr>
        <w:spacing w:line="520" w:lineRule="exact"/>
        <w:ind w:firstLine="640" w:firstLineChars="200"/>
        <w:rPr>
          <w:rFonts w:eastAsia="仿宋_GB2312"/>
          <w:spacing w:val="-11"/>
          <w:kern w:val="0"/>
          <w:sz w:val="32"/>
          <w:szCs w:val="32"/>
        </w:rPr>
      </w:pPr>
      <w:r>
        <w:rPr>
          <w:rFonts w:eastAsia="仿宋_GB2312"/>
          <w:sz w:val="32"/>
          <w:szCs w:val="32"/>
        </w:rPr>
        <w:t>碳青霉烯类抗生素耐药基因</w:t>
      </w:r>
      <w:r>
        <w:rPr>
          <w:rFonts w:eastAsia="仿宋_GB2312"/>
          <w:bCs/>
          <w:i/>
          <w:sz w:val="32"/>
          <w:szCs w:val="32"/>
        </w:rPr>
        <w:t>bla</w:t>
      </w:r>
      <w:r>
        <w:rPr>
          <w:rFonts w:eastAsia="仿宋_GB2312"/>
          <w:bCs/>
          <w:sz w:val="32"/>
          <w:szCs w:val="32"/>
          <w:vertAlign w:val="subscript"/>
        </w:rPr>
        <w:t>KPC</w:t>
      </w:r>
      <w:r>
        <w:rPr>
          <w:rFonts w:eastAsia="仿宋_GB2312"/>
          <w:sz w:val="32"/>
          <w:szCs w:val="32"/>
        </w:rPr>
        <w:t>检测试剂</w:t>
      </w:r>
      <w:r>
        <w:rPr>
          <w:rFonts w:eastAsia="仿宋_GB2312"/>
          <w:spacing w:val="-11"/>
          <w:kern w:val="0"/>
          <w:sz w:val="32"/>
          <w:szCs w:val="32"/>
        </w:rPr>
        <w:t>说明书编写应重点关注以下内容。</w:t>
      </w:r>
    </w:p>
    <w:p>
      <w:pPr>
        <w:spacing w:line="520" w:lineRule="exact"/>
        <w:ind w:firstLine="640" w:firstLineChars="200"/>
        <w:rPr>
          <w:rFonts w:eastAsia="仿宋_GB2312"/>
          <w:sz w:val="32"/>
          <w:szCs w:val="32"/>
        </w:rPr>
      </w:pPr>
      <w:r>
        <w:rPr>
          <w:rFonts w:eastAsia="仿宋_GB2312"/>
          <w:sz w:val="32"/>
          <w:szCs w:val="32"/>
        </w:rPr>
        <w:t>1.【预期用途】</w:t>
      </w:r>
    </w:p>
    <w:p>
      <w:pPr>
        <w:spacing w:line="520" w:lineRule="exact"/>
        <w:ind w:firstLine="627" w:firstLineChars="196"/>
        <w:rPr>
          <w:rFonts w:eastAsia="仿宋_GB2312"/>
          <w:bCs/>
          <w:sz w:val="32"/>
          <w:szCs w:val="32"/>
        </w:rPr>
      </w:pPr>
      <w:r>
        <w:rPr>
          <w:rFonts w:eastAsia="仿宋_GB2312"/>
          <w:sz w:val="32"/>
          <w:szCs w:val="32"/>
        </w:rPr>
        <w:t>应至少包括以下几部分内容：</w:t>
      </w:r>
      <w:bookmarkStart w:id="6" w:name="_GoBack"/>
      <w:bookmarkEnd w:id="6"/>
    </w:p>
    <w:p>
      <w:pPr>
        <w:spacing w:line="520" w:lineRule="exact"/>
        <w:ind w:firstLine="627" w:firstLineChars="196"/>
        <w:rPr>
          <w:rFonts w:eastAsia="仿宋_GB2312"/>
          <w:bCs/>
          <w:sz w:val="32"/>
          <w:szCs w:val="32"/>
        </w:rPr>
      </w:pPr>
      <w:r>
        <w:rPr>
          <w:rFonts w:eastAsia="仿宋_GB2312"/>
          <w:bCs/>
          <w:sz w:val="32"/>
          <w:szCs w:val="32"/>
        </w:rPr>
        <w:t>1.1试剂用于体外定性检测碳青霉烯耐药患者的痰液、直肠拭子、分离菌落样本中的耐药基因</w:t>
      </w:r>
      <w:r>
        <w:rPr>
          <w:rFonts w:eastAsia="仿宋_GB2312"/>
          <w:bCs/>
          <w:i/>
          <w:sz w:val="32"/>
          <w:szCs w:val="32"/>
        </w:rPr>
        <w:t>bla</w:t>
      </w:r>
      <w:r>
        <w:rPr>
          <w:rFonts w:eastAsia="仿宋_GB2312"/>
          <w:bCs/>
          <w:sz w:val="32"/>
          <w:szCs w:val="32"/>
          <w:vertAlign w:val="subscript"/>
        </w:rPr>
        <w:t>KPC</w:t>
      </w:r>
      <w:r>
        <w:rPr>
          <w:rFonts w:eastAsia="仿宋_GB2312"/>
          <w:bCs/>
          <w:sz w:val="32"/>
          <w:szCs w:val="32"/>
        </w:rPr>
        <w:t>。</w:t>
      </w:r>
    </w:p>
    <w:p>
      <w:pPr>
        <w:spacing w:line="520" w:lineRule="exact"/>
        <w:ind w:firstLine="627" w:firstLineChars="196"/>
        <w:rPr>
          <w:rFonts w:eastAsia="仿宋_GB2312"/>
          <w:kern w:val="0"/>
          <w:sz w:val="32"/>
          <w:szCs w:val="32"/>
        </w:rPr>
      </w:pPr>
      <w:r>
        <w:rPr>
          <w:rFonts w:eastAsia="仿宋_GB2312"/>
          <w:sz w:val="32"/>
        </w:rPr>
        <w:t>1.2</w:t>
      </w:r>
      <w:r>
        <w:rPr>
          <w:rFonts w:eastAsia="仿宋_GB2312"/>
          <w:kern w:val="0"/>
          <w:sz w:val="32"/>
          <w:szCs w:val="32"/>
        </w:rPr>
        <w:t>明确试剂不同样本类型的临床意义，如直肠拭子样本用于碳青霉烯抗生素耐药菌院内感染的预防和控制；痰液用于结合其他实验室检测等辅助诊断碳青霉烯抗生素耐药菌感染；分离菌落样本用于临床需进行培养检测的疑似碳青霉烯抗生素耐药菌感染患者的辅助诊断。</w:t>
      </w:r>
    </w:p>
    <w:p>
      <w:pPr>
        <w:autoSpaceDE w:val="0"/>
        <w:autoSpaceDN w:val="0"/>
        <w:spacing w:line="520" w:lineRule="exact"/>
        <w:ind w:firstLine="640" w:firstLineChars="200"/>
        <w:rPr>
          <w:rFonts w:eastAsia="仿宋_GB2312"/>
          <w:sz w:val="32"/>
        </w:rPr>
      </w:pPr>
      <w:r>
        <w:rPr>
          <w:rFonts w:eastAsia="仿宋_GB2312"/>
          <w:bCs/>
          <w:sz w:val="32"/>
          <w:szCs w:val="32"/>
        </w:rPr>
        <w:t>1.3</w:t>
      </w:r>
      <w:r>
        <w:rPr>
          <w:rFonts w:eastAsia="仿宋_GB2312"/>
          <w:sz w:val="32"/>
        </w:rPr>
        <w:t>简要介绍</w:t>
      </w:r>
      <w:r>
        <w:rPr>
          <w:rFonts w:eastAsia="仿宋_GB2312"/>
          <w:bCs/>
          <w:sz w:val="32"/>
          <w:szCs w:val="32"/>
        </w:rPr>
        <w:t>靶基因</w:t>
      </w:r>
      <w:r>
        <w:rPr>
          <w:rFonts w:eastAsia="仿宋_GB2312"/>
          <w:sz w:val="32"/>
        </w:rPr>
        <w:t>特征，包括亚型情况的描述，所检测的耐药基因与相应药物的相关性。</w:t>
      </w:r>
    </w:p>
    <w:p>
      <w:pPr>
        <w:autoSpaceDE w:val="0"/>
        <w:autoSpaceDN w:val="0"/>
        <w:spacing w:line="520" w:lineRule="exact"/>
        <w:ind w:firstLine="640" w:firstLineChars="200"/>
        <w:rPr>
          <w:rFonts w:eastAsia="仿宋_GB2312"/>
          <w:sz w:val="32"/>
        </w:rPr>
      </w:pPr>
      <w:r>
        <w:rPr>
          <w:rFonts w:eastAsia="仿宋_GB2312"/>
          <w:sz w:val="32"/>
        </w:rPr>
        <w:t>1.4强调该试剂检测结果仅供临床参考，不应作为治疗药物调整的唯一依据，临床医生应结合患者病情及其他实验室检测指标等因素对患者治疗进行综合判断。</w:t>
      </w:r>
    </w:p>
    <w:p>
      <w:pPr>
        <w:spacing w:line="520" w:lineRule="exact"/>
        <w:ind w:firstLine="640" w:firstLineChars="200"/>
        <w:rPr>
          <w:rFonts w:eastAsia="仿宋_GB2312"/>
          <w:bCs/>
          <w:sz w:val="32"/>
          <w:szCs w:val="32"/>
        </w:rPr>
      </w:pPr>
      <w:r>
        <w:rPr>
          <w:rFonts w:eastAsia="仿宋_GB2312"/>
          <w:bCs/>
          <w:sz w:val="32"/>
          <w:szCs w:val="32"/>
        </w:rPr>
        <w:t>2.【检验原理】</w:t>
      </w:r>
    </w:p>
    <w:p>
      <w:pPr>
        <w:spacing w:line="520" w:lineRule="exact"/>
        <w:ind w:firstLine="640" w:firstLineChars="200"/>
        <w:rPr>
          <w:rFonts w:eastAsia="仿宋_GB2312"/>
          <w:sz w:val="32"/>
        </w:rPr>
      </w:pPr>
      <w:r>
        <w:rPr>
          <w:rFonts w:eastAsia="仿宋_GB2312"/>
          <w:sz w:val="32"/>
        </w:rPr>
        <w:t>详述核酸提取纯化及试剂检测原理，说明检测的耐药基因位点信息，明确内标名称。介绍引物及探针设计、不同样品反应体系（管）组合、</w:t>
      </w:r>
      <w:r>
        <w:rPr>
          <w:rFonts w:eastAsia="仿宋_GB2312"/>
          <w:kern w:val="0"/>
          <w:sz w:val="32"/>
          <w:szCs w:val="32"/>
        </w:rPr>
        <w:t>对照品（质控品）</w:t>
      </w:r>
      <w:r>
        <w:rPr>
          <w:rFonts w:eastAsia="仿宋_GB2312"/>
          <w:sz w:val="32"/>
        </w:rPr>
        <w:t>设置及荧光信号标记等。如采用了防污染措施，应进行简要描述。</w:t>
      </w:r>
    </w:p>
    <w:p>
      <w:pPr>
        <w:spacing w:line="520" w:lineRule="exact"/>
        <w:ind w:firstLine="640" w:firstLineChars="200"/>
        <w:rPr>
          <w:rFonts w:eastAsia="仿宋_GB2312"/>
          <w:bCs/>
          <w:sz w:val="32"/>
          <w:szCs w:val="32"/>
        </w:rPr>
      </w:pPr>
      <w:r>
        <w:rPr>
          <w:rFonts w:eastAsia="仿宋_GB2312"/>
          <w:bCs/>
          <w:sz w:val="32"/>
          <w:szCs w:val="32"/>
        </w:rPr>
        <w:t>3.【主要组成成分】</w:t>
      </w:r>
    </w:p>
    <w:p>
      <w:pPr>
        <w:spacing w:line="520" w:lineRule="exact"/>
        <w:ind w:firstLine="640" w:firstLineChars="200"/>
        <w:rPr>
          <w:rFonts w:eastAsia="仿宋_GB2312"/>
          <w:sz w:val="32"/>
          <w:szCs w:val="32"/>
        </w:rPr>
      </w:pPr>
      <w:r>
        <w:rPr>
          <w:rFonts w:eastAsia="仿宋_GB2312"/>
          <w:sz w:val="32"/>
          <w:szCs w:val="32"/>
        </w:rPr>
        <w:t>3.1说明试剂盒所包含组分的名称、数量、装量等信息，如含有人源组分，应提供其生物学来源、活性及其他特性；说明不同批号试剂盒中各组分是否可以互换。</w:t>
      </w:r>
    </w:p>
    <w:p>
      <w:pPr>
        <w:spacing w:line="520" w:lineRule="exact"/>
        <w:ind w:firstLine="640" w:firstLineChars="200"/>
        <w:rPr>
          <w:rFonts w:eastAsia="仿宋_GB2312"/>
          <w:sz w:val="32"/>
          <w:szCs w:val="32"/>
        </w:rPr>
      </w:pPr>
      <w:r>
        <w:rPr>
          <w:rFonts w:eastAsia="仿宋_GB2312"/>
          <w:sz w:val="32"/>
          <w:szCs w:val="32"/>
        </w:rPr>
        <w:t>3.2试剂中不包含但该项检测必需的组分，</w:t>
      </w:r>
      <w:r>
        <w:rPr>
          <w:rFonts w:eastAsia="仿宋_GB2312"/>
          <w:bCs/>
          <w:sz w:val="32"/>
          <w:szCs w:val="32"/>
        </w:rPr>
        <w:t>如样本保存液及其他配套使用的材料，</w:t>
      </w:r>
      <w:r>
        <w:rPr>
          <w:rFonts w:eastAsia="仿宋_GB2312"/>
          <w:sz w:val="32"/>
          <w:szCs w:val="32"/>
        </w:rPr>
        <w:t>应列出相关试剂/耗材的名称、注册证号或备案号（如有）及其他相关信息。</w:t>
      </w:r>
    </w:p>
    <w:p>
      <w:pPr>
        <w:spacing w:line="520" w:lineRule="exact"/>
        <w:ind w:firstLine="640" w:firstLineChars="200"/>
        <w:rPr>
          <w:rFonts w:eastAsia="仿宋_GB2312"/>
          <w:sz w:val="32"/>
          <w:szCs w:val="32"/>
        </w:rPr>
      </w:pPr>
      <w:r>
        <w:rPr>
          <w:rFonts w:eastAsia="仿宋_GB2312"/>
          <w:sz w:val="32"/>
          <w:szCs w:val="32"/>
        </w:rPr>
        <w:t>3.3如果试剂盒中不包含用于核酸分离/纯化的试剂组分，则应在此注明经验证后推荐配合使用的商品化核酸分离/纯化试剂盒的注册人（备案人）、货号及其注册证编号（备案编号）等详细信息。</w:t>
      </w:r>
    </w:p>
    <w:p>
      <w:pPr>
        <w:spacing w:line="520" w:lineRule="exact"/>
        <w:ind w:firstLine="640" w:firstLineChars="200"/>
        <w:contextualSpacing/>
        <w:rPr>
          <w:rFonts w:eastAsia="仿宋_GB2312"/>
          <w:sz w:val="32"/>
        </w:rPr>
      </w:pPr>
      <w:r>
        <w:rPr>
          <w:rFonts w:eastAsia="仿宋_GB2312"/>
          <w:sz w:val="32"/>
        </w:rPr>
        <w:t>4.【储存条件及有效期】</w:t>
      </w:r>
    </w:p>
    <w:p>
      <w:pPr>
        <w:spacing w:line="520" w:lineRule="exact"/>
        <w:ind w:firstLine="640" w:firstLineChars="200"/>
        <w:rPr>
          <w:rFonts w:eastAsia="仿宋_GB2312"/>
          <w:sz w:val="32"/>
          <w:szCs w:val="32"/>
        </w:rPr>
      </w:pPr>
      <w:r>
        <w:rPr>
          <w:rFonts w:eastAsia="仿宋_GB2312"/>
          <w:sz w:val="32"/>
        </w:rPr>
        <w:t>明确试剂的效期稳定性、开瓶稳定性、复溶稳定性（如适用）、冻融次数（如适用）要求，</w:t>
      </w:r>
      <w:r>
        <w:rPr>
          <w:rFonts w:eastAsia="仿宋_GB2312"/>
          <w:sz w:val="32"/>
          <w:szCs w:val="32"/>
        </w:rPr>
        <w:t>应标明具体的储存条件及效期。明确生产日期、使用期限/失效日期/有效期至见标签。</w:t>
      </w:r>
    </w:p>
    <w:p>
      <w:pPr>
        <w:spacing w:line="520" w:lineRule="exact"/>
        <w:ind w:firstLine="640" w:firstLineChars="200"/>
        <w:rPr>
          <w:rFonts w:eastAsia="仿宋_GB2312"/>
          <w:sz w:val="32"/>
          <w:szCs w:val="32"/>
        </w:rPr>
      </w:pPr>
      <w:r>
        <w:rPr>
          <w:rFonts w:eastAsia="仿宋_GB2312"/>
          <w:sz w:val="32"/>
          <w:szCs w:val="32"/>
        </w:rPr>
        <w:t>5.【样本要求】</w:t>
      </w:r>
    </w:p>
    <w:p>
      <w:pPr>
        <w:snapToGrid w:val="0"/>
        <w:spacing w:line="520" w:lineRule="exact"/>
        <w:ind w:firstLine="640" w:firstLineChars="200"/>
        <w:rPr>
          <w:rFonts w:eastAsia="仿宋_GB2312"/>
          <w:sz w:val="32"/>
          <w:szCs w:val="32"/>
        </w:rPr>
      </w:pPr>
      <w:r>
        <w:rPr>
          <w:rFonts w:eastAsia="仿宋_GB2312"/>
          <w:sz w:val="32"/>
          <w:szCs w:val="32"/>
        </w:rPr>
        <w:t>明确适用的样本类型，详述样本采集、保存、运输和处理方式。</w:t>
      </w:r>
    </w:p>
    <w:p>
      <w:pPr>
        <w:snapToGrid w:val="0"/>
        <w:spacing w:line="520" w:lineRule="exact"/>
        <w:ind w:firstLine="640" w:firstLineChars="200"/>
        <w:rPr>
          <w:rFonts w:eastAsia="仿宋_GB2312"/>
          <w:sz w:val="32"/>
          <w:szCs w:val="32"/>
        </w:rPr>
      </w:pPr>
      <w:r>
        <w:rPr>
          <w:rFonts w:eastAsia="仿宋_GB2312"/>
          <w:sz w:val="32"/>
          <w:szCs w:val="32"/>
        </w:rPr>
        <w:t>针对痰液样本，应包括采样步骤、采样量、消化液用量及消化时间等。</w:t>
      </w:r>
    </w:p>
    <w:p>
      <w:pPr>
        <w:snapToGrid w:val="0"/>
        <w:spacing w:line="520" w:lineRule="exact"/>
        <w:ind w:firstLine="640" w:firstLineChars="200"/>
        <w:rPr>
          <w:rFonts w:eastAsia="仿宋_GB2312"/>
          <w:sz w:val="32"/>
          <w:szCs w:val="32"/>
        </w:rPr>
      </w:pPr>
      <w:r>
        <w:rPr>
          <w:rFonts w:eastAsia="仿宋_GB2312"/>
          <w:sz w:val="32"/>
          <w:szCs w:val="32"/>
        </w:rPr>
        <w:t>针对直肠拭子样本，应包括采样步骤、保存液用量、拭子头、拭子杆材质等。</w:t>
      </w:r>
    </w:p>
    <w:p>
      <w:pPr>
        <w:snapToGrid w:val="0"/>
        <w:spacing w:line="520" w:lineRule="exact"/>
        <w:ind w:firstLine="640" w:firstLineChars="200"/>
        <w:rPr>
          <w:rFonts w:eastAsia="仿宋_GB2312"/>
          <w:sz w:val="32"/>
          <w:szCs w:val="32"/>
        </w:rPr>
      </w:pPr>
      <w:r>
        <w:rPr>
          <w:rFonts w:eastAsia="仿宋_GB2312"/>
          <w:sz w:val="32"/>
          <w:szCs w:val="32"/>
        </w:rPr>
        <w:t>针对分离菌落样本，应包括采样步骤、菌落培养、混悬液制备等。</w:t>
      </w:r>
    </w:p>
    <w:p>
      <w:pPr>
        <w:snapToGrid w:val="0"/>
        <w:spacing w:line="520" w:lineRule="exact"/>
        <w:ind w:firstLine="640" w:firstLineChars="200"/>
        <w:rPr>
          <w:rFonts w:eastAsia="仿宋_GB2312"/>
          <w:sz w:val="32"/>
          <w:szCs w:val="32"/>
        </w:rPr>
      </w:pPr>
      <w:r>
        <w:rPr>
          <w:rFonts w:eastAsia="仿宋_GB2312"/>
          <w:sz w:val="32"/>
          <w:szCs w:val="32"/>
        </w:rPr>
        <w:t>如有临床公认推荐的采样要求，应遵循，并引用相应的技术规范或指南。明确样本及核酸提取液（如适用）的保存稳定性。</w:t>
      </w:r>
    </w:p>
    <w:p>
      <w:pPr>
        <w:spacing w:line="520" w:lineRule="exact"/>
        <w:ind w:firstLine="640" w:firstLineChars="200"/>
        <w:rPr>
          <w:rFonts w:eastAsia="仿宋_GB2312"/>
          <w:sz w:val="32"/>
          <w:szCs w:val="32"/>
        </w:rPr>
      </w:pPr>
      <w:r>
        <w:rPr>
          <w:rFonts w:eastAsia="仿宋_GB2312"/>
          <w:sz w:val="32"/>
          <w:szCs w:val="32"/>
        </w:rPr>
        <w:t>6.【适用机型】</w:t>
      </w:r>
    </w:p>
    <w:p>
      <w:pPr>
        <w:spacing w:line="520" w:lineRule="exact"/>
        <w:ind w:firstLine="640" w:firstLineChars="200"/>
        <w:rPr>
          <w:rFonts w:eastAsia="仿宋_GB2312"/>
          <w:sz w:val="32"/>
          <w:szCs w:val="32"/>
        </w:rPr>
      </w:pPr>
      <w:r>
        <w:rPr>
          <w:rFonts w:eastAsia="仿宋_GB2312"/>
          <w:sz w:val="32"/>
          <w:szCs w:val="32"/>
        </w:rPr>
        <w:t>注明所有适用的仪器型号。</w:t>
      </w:r>
    </w:p>
    <w:p>
      <w:pPr>
        <w:spacing w:line="520" w:lineRule="exact"/>
        <w:ind w:firstLine="640" w:firstLineChars="200"/>
        <w:rPr>
          <w:rFonts w:eastAsia="仿宋_GB2312"/>
          <w:sz w:val="32"/>
          <w:szCs w:val="32"/>
        </w:rPr>
      </w:pPr>
      <w:r>
        <w:rPr>
          <w:rFonts w:eastAsia="仿宋_GB2312"/>
          <w:sz w:val="32"/>
          <w:szCs w:val="32"/>
        </w:rPr>
        <w:t>7.【检验方法】</w:t>
      </w:r>
    </w:p>
    <w:p>
      <w:pPr>
        <w:spacing w:line="520" w:lineRule="exact"/>
        <w:ind w:firstLine="640" w:firstLineChars="200"/>
        <w:rPr>
          <w:rFonts w:eastAsia="仿宋_GB2312"/>
          <w:sz w:val="32"/>
          <w:szCs w:val="32"/>
        </w:rPr>
      </w:pPr>
      <w:r>
        <w:rPr>
          <w:rFonts w:eastAsia="仿宋_GB2312"/>
          <w:sz w:val="32"/>
          <w:szCs w:val="32"/>
        </w:rPr>
        <w:t>7.1试剂准备及配制方法、注意事项。</w:t>
      </w:r>
    </w:p>
    <w:p>
      <w:pPr>
        <w:spacing w:line="520" w:lineRule="exact"/>
        <w:ind w:firstLine="640" w:firstLineChars="200"/>
        <w:rPr>
          <w:rFonts w:eastAsia="仿宋_GB2312"/>
          <w:sz w:val="32"/>
          <w:szCs w:val="32"/>
        </w:rPr>
      </w:pPr>
      <w:r>
        <w:rPr>
          <w:rFonts w:eastAsia="仿宋_GB2312"/>
          <w:sz w:val="32"/>
          <w:szCs w:val="32"/>
        </w:rPr>
        <w:t>7.2详述待测样本、</w:t>
      </w:r>
      <w:r>
        <w:rPr>
          <w:rFonts w:eastAsia="仿宋_GB2312"/>
          <w:kern w:val="0"/>
          <w:sz w:val="32"/>
          <w:szCs w:val="32"/>
        </w:rPr>
        <w:t>对照品（质控品）</w:t>
      </w:r>
      <w:r>
        <w:rPr>
          <w:rFonts w:eastAsia="仿宋_GB2312"/>
          <w:sz w:val="32"/>
          <w:szCs w:val="32"/>
        </w:rPr>
        <w:t>的核酸提取/纯化条件（包括样本体积、洗脱体积）、步骤及注意事项。</w:t>
      </w:r>
      <w:r>
        <w:rPr>
          <w:rFonts w:eastAsia="仿宋_GB2312"/>
          <w:kern w:val="0"/>
          <w:sz w:val="32"/>
          <w:szCs w:val="32"/>
        </w:rPr>
        <w:t>对照品（质控品）</w:t>
      </w:r>
      <w:r>
        <w:rPr>
          <w:rFonts w:eastAsia="仿宋_GB2312"/>
          <w:sz w:val="32"/>
          <w:szCs w:val="32"/>
        </w:rPr>
        <w:t>应与待测样本同步进行核酸提取。</w:t>
      </w:r>
    </w:p>
    <w:p>
      <w:pPr>
        <w:spacing w:line="520" w:lineRule="exact"/>
        <w:ind w:firstLine="640" w:firstLineChars="200"/>
        <w:rPr>
          <w:rFonts w:eastAsia="仿宋_GB2312"/>
          <w:sz w:val="32"/>
          <w:szCs w:val="32"/>
        </w:rPr>
      </w:pPr>
      <w:r>
        <w:rPr>
          <w:rFonts w:eastAsia="仿宋_GB2312"/>
          <w:sz w:val="32"/>
          <w:szCs w:val="32"/>
        </w:rPr>
        <w:t>7.3扩增反应前准备：</w:t>
      </w:r>
      <w:r>
        <w:rPr>
          <w:rFonts w:eastAsia="仿宋_GB2312"/>
          <w:kern w:val="0"/>
          <w:sz w:val="32"/>
          <w:szCs w:val="32"/>
        </w:rPr>
        <w:t>各组分</w:t>
      </w:r>
      <w:r>
        <w:rPr>
          <w:rFonts w:eastAsia="仿宋_GB2312"/>
          <w:sz w:val="32"/>
          <w:szCs w:val="32"/>
        </w:rPr>
        <w:t>加样体积、顺序等。</w:t>
      </w:r>
    </w:p>
    <w:p>
      <w:pPr>
        <w:spacing w:line="520" w:lineRule="exact"/>
        <w:ind w:firstLine="640" w:firstLineChars="200"/>
        <w:rPr>
          <w:rFonts w:eastAsia="仿宋_GB2312"/>
          <w:sz w:val="32"/>
          <w:szCs w:val="32"/>
        </w:rPr>
      </w:pPr>
      <w:r>
        <w:rPr>
          <w:rFonts w:eastAsia="仿宋_GB2312"/>
          <w:sz w:val="32"/>
          <w:szCs w:val="32"/>
        </w:rPr>
        <w:t>7.4明确各适用机型的反应参数设置（包括PCR各阶段的温度、时间设置、循环设置及相关注意事项），基线、循环阈值（Ct值）的选择方法，以及各检测靶标对应的荧光通道。</w:t>
      </w:r>
    </w:p>
    <w:p>
      <w:pPr>
        <w:spacing w:line="520" w:lineRule="exact"/>
        <w:ind w:firstLine="640" w:firstLineChars="200"/>
        <w:rPr>
          <w:rFonts w:eastAsia="仿宋_GB2312"/>
          <w:sz w:val="32"/>
          <w:szCs w:val="32"/>
        </w:rPr>
      </w:pPr>
      <w:r>
        <w:rPr>
          <w:rFonts w:eastAsia="仿宋_GB2312"/>
          <w:sz w:val="32"/>
          <w:szCs w:val="32"/>
        </w:rPr>
        <w:t>7.5校准方法的描述。</w:t>
      </w:r>
    </w:p>
    <w:p>
      <w:pPr>
        <w:spacing w:line="520" w:lineRule="exact"/>
        <w:ind w:firstLine="640" w:firstLineChars="200"/>
        <w:rPr>
          <w:rFonts w:eastAsia="仿宋_GB2312"/>
          <w:sz w:val="32"/>
          <w:szCs w:val="32"/>
        </w:rPr>
      </w:pPr>
      <w:r>
        <w:rPr>
          <w:rFonts w:eastAsia="仿宋_GB2312"/>
          <w:sz w:val="32"/>
          <w:szCs w:val="32"/>
        </w:rPr>
        <w:t>7.6实验的有效性判断：明确内标、质控品检测结果Ct值范围。</w:t>
      </w:r>
    </w:p>
    <w:p>
      <w:pPr>
        <w:spacing w:line="520" w:lineRule="exact"/>
        <w:ind w:firstLine="640" w:firstLineChars="200"/>
        <w:rPr>
          <w:rFonts w:eastAsia="仿宋_GB2312"/>
          <w:sz w:val="32"/>
          <w:szCs w:val="32"/>
        </w:rPr>
      </w:pPr>
      <w:r>
        <w:rPr>
          <w:rFonts w:eastAsia="仿宋_GB2312"/>
          <w:sz w:val="32"/>
          <w:szCs w:val="32"/>
        </w:rPr>
        <w:t>8.【阳性判断值】</w:t>
      </w:r>
    </w:p>
    <w:p>
      <w:pPr>
        <w:spacing w:line="520" w:lineRule="exact"/>
        <w:ind w:firstLine="640" w:firstLineChars="200"/>
        <w:rPr>
          <w:rFonts w:eastAsia="仿宋_GB2312"/>
          <w:sz w:val="32"/>
          <w:szCs w:val="32"/>
        </w:rPr>
      </w:pPr>
      <w:r>
        <w:rPr>
          <w:rFonts w:eastAsia="仿宋_GB2312"/>
          <w:sz w:val="32"/>
          <w:szCs w:val="32"/>
        </w:rPr>
        <w:t>简要说明阳性判断值研究、统计方法及结论，明确基本信息，包括样本量、人群特征（如性别、年龄等）。</w:t>
      </w:r>
    </w:p>
    <w:p>
      <w:pPr>
        <w:snapToGrid w:val="0"/>
        <w:spacing w:line="520" w:lineRule="exact"/>
        <w:ind w:firstLine="640" w:firstLineChars="200"/>
        <w:rPr>
          <w:rFonts w:eastAsia="仿宋_GB2312"/>
          <w:sz w:val="32"/>
          <w:szCs w:val="32"/>
        </w:rPr>
      </w:pPr>
      <w:r>
        <w:rPr>
          <w:rFonts w:eastAsia="仿宋_GB2312"/>
          <w:sz w:val="32"/>
          <w:szCs w:val="32"/>
        </w:rPr>
        <w:t>9.【检验结果的解释】</w:t>
      </w:r>
    </w:p>
    <w:p>
      <w:pPr>
        <w:spacing w:line="520" w:lineRule="exact"/>
        <w:ind w:firstLine="640" w:firstLineChars="200"/>
        <w:contextualSpacing/>
        <w:rPr>
          <w:rFonts w:eastAsia="仿宋_GB2312"/>
          <w:sz w:val="32"/>
        </w:rPr>
      </w:pPr>
      <w:r>
        <w:rPr>
          <w:rFonts w:eastAsia="仿宋_GB2312"/>
          <w:sz w:val="32"/>
        </w:rPr>
        <w:t>以阳性判断值的研究结论为依据，</w:t>
      </w:r>
      <w:r>
        <w:rPr>
          <w:rFonts w:eastAsia="仿宋_GB2312"/>
          <w:sz w:val="32"/>
          <w:szCs w:val="32"/>
        </w:rPr>
        <w:t>结合阴、阳性质控品及内标检测结果，</w:t>
      </w:r>
      <w:r>
        <w:rPr>
          <w:rFonts w:eastAsia="仿宋_GB2312"/>
          <w:sz w:val="32"/>
        </w:rPr>
        <w:t>对所有可能出现的结果组合（如</w:t>
      </w:r>
      <w:r>
        <w:rPr>
          <w:rFonts w:eastAsia="仿宋_GB2312"/>
          <w:sz w:val="32"/>
          <w:szCs w:val="32"/>
        </w:rPr>
        <w:t>阴性、阳性、灰区/复测、无效等</w:t>
      </w:r>
      <w:r>
        <w:rPr>
          <w:rFonts w:eastAsia="仿宋_GB2312"/>
          <w:sz w:val="32"/>
        </w:rPr>
        <w:t>）及相应的解释进行详述。</w:t>
      </w:r>
    </w:p>
    <w:p>
      <w:pPr>
        <w:spacing w:line="520" w:lineRule="exact"/>
        <w:ind w:firstLine="640" w:firstLineChars="200"/>
        <w:rPr>
          <w:rFonts w:eastAsia="仿宋_GB2312"/>
          <w:sz w:val="32"/>
          <w:szCs w:val="32"/>
        </w:rPr>
      </w:pPr>
      <w:r>
        <w:rPr>
          <w:rFonts w:eastAsia="仿宋_GB2312"/>
          <w:sz w:val="32"/>
          <w:szCs w:val="32"/>
        </w:rPr>
        <w:t>10.【检验方法局限性】</w:t>
      </w:r>
    </w:p>
    <w:p>
      <w:pPr>
        <w:spacing w:line="520" w:lineRule="exact"/>
        <w:ind w:firstLine="640" w:firstLineChars="200"/>
        <w:rPr>
          <w:rFonts w:eastAsia="仿宋_GB2312"/>
          <w:sz w:val="32"/>
        </w:rPr>
      </w:pPr>
      <w:r>
        <w:rPr>
          <w:rFonts w:eastAsia="仿宋_GB2312"/>
          <w:sz w:val="32"/>
          <w:szCs w:val="32"/>
        </w:rPr>
        <w:t>10.1</w:t>
      </w:r>
      <w:r>
        <w:rPr>
          <w:rFonts w:eastAsia="仿宋_GB2312"/>
          <w:sz w:val="32"/>
        </w:rPr>
        <w:t>本试剂检测结果应结合患者临床症状及其他相关医学检查结果进行综合分析，不得单独作为患者管理的依据。</w:t>
      </w:r>
    </w:p>
    <w:p>
      <w:pPr>
        <w:spacing w:line="520" w:lineRule="exact"/>
        <w:ind w:firstLine="640" w:firstLineChars="200"/>
        <w:rPr>
          <w:rFonts w:eastAsia="仿宋_GB2312"/>
          <w:sz w:val="32"/>
          <w:szCs w:val="32"/>
        </w:rPr>
      </w:pPr>
      <w:r>
        <w:rPr>
          <w:rFonts w:eastAsia="仿宋_GB2312"/>
          <w:sz w:val="32"/>
          <w:szCs w:val="32"/>
        </w:rPr>
        <w:t>10.2导致假阴性/假阳性结果的可能性分析：</w:t>
      </w:r>
    </w:p>
    <w:p>
      <w:pPr>
        <w:spacing w:line="520" w:lineRule="exact"/>
        <w:ind w:firstLine="640" w:firstLineChars="200"/>
        <w:rPr>
          <w:rFonts w:eastAsia="仿宋_GB2312"/>
          <w:sz w:val="32"/>
          <w:szCs w:val="32"/>
        </w:rPr>
      </w:pPr>
      <w:r>
        <w:rPr>
          <w:rFonts w:eastAsia="仿宋_GB2312"/>
          <w:sz w:val="32"/>
          <w:szCs w:val="32"/>
        </w:rPr>
        <w:t>10.2.1不合理的样本采集、处理、运输及保存条件，样本中目标物浓度过低，可能导致假阴性。</w:t>
      </w:r>
    </w:p>
    <w:p>
      <w:pPr>
        <w:spacing w:line="520" w:lineRule="exact"/>
        <w:ind w:firstLine="640" w:firstLineChars="200"/>
        <w:rPr>
          <w:rFonts w:eastAsia="仿宋_GB2312"/>
          <w:sz w:val="32"/>
          <w:szCs w:val="32"/>
        </w:rPr>
      </w:pPr>
      <w:r>
        <w:rPr>
          <w:rFonts w:eastAsia="仿宋_GB2312"/>
          <w:sz w:val="32"/>
          <w:szCs w:val="32"/>
        </w:rPr>
        <w:t>10.2.2待测目标基因序列的变异或其他原因导致的序列改变，可能导致假阴性。</w:t>
      </w:r>
    </w:p>
    <w:p>
      <w:pPr>
        <w:spacing w:line="520" w:lineRule="exact"/>
        <w:ind w:firstLine="640" w:firstLineChars="200"/>
        <w:rPr>
          <w:rFonts w:eastAsia="仿宋_GB2312"/>
          <w:sz w:val="32"/>
          <w:szCs w:val="32"/>
        </w:rPr>
      </w:pPr>
      <w:r>
        <w:rPr>
          <w:rFonts w:eastAsia="仿宋_GB2312"/>
          <w:sz w:val="32"/>
          <w:szCs w:val="32"/>
        </w:rPr>
        <w:t>10.2.3未经验证的其他干扰或PCR抑制因子等，可能导致假阴性结果。</w:t>
      </w:r>
    </w:p>
    <w:p>
      <w:pPr>
        <w:spacing w:line="520" w:lineRule="exact"/>
        <w:ind w:firstLine="640" w:firstLineChars="200"/>
        <w:rPr>
          <w:rFonts w:eastAsia="仿宋_GB2312"/>
          <w:sz w:val="32"/>
          <w:szCs w:val="32"/>
        </w:rPr>
      </w:pPr>
      <w:r>
        <w:rPr>
          <w:rFonts w:eastAsia="仿宋_GB2312"/>
          <w:sz w:val="32"/>
          <w:szCs w:val="32"/>
        </w:rPr>
        <w:t>10.2.4</w:t>
      </w:r>
      <w:r>
        <w:rPr>
          <w:rFonts w:eastAsia="仿宋_GB2312"/>
          <w:sz w:val="32"/>
        </w:rPr>
        <w:t>不当的实验操作和实验环境，可能导致假阴性或假阳性结果。</w:t>
      </w:r>
    </w:p>
    <w:p>
      <w:pPr>
        <w:spacing w:line="520" w:lineRule="exact"/>
        <w:ind w:firstLine="640" w:firstLineChars="200"/>
        <w:rPr>
          <w:rFonts w:eastAsia="仿宋_GB2312"/>
          <w:sz w:val="32"/>
          <w:szCs w:val="32"/>
        </w:rPr>
      </w:pPr>
      <w:r>
        <w:rPr>
          <w:rFonts w:eastAsia="仿宋_GB2312"/>
          <w:sz w:val="32"/>
          <w:szCs w:val="32"/>
        </w:rPr>
        <w:t>10.3耐药基因型与表型可能存在一定程度的不一致性。本产品检测阴性不能排除存在其他耐药机制。</w:t>
      </w:r>
    </w:p>
    <w:p>
      <w:pPr>
        <w:spacing w:line="520" w:lineRule="exact"/>
        <w:ind w:firstLine="640" w:firstLineChars="200"/>
        <w:rPr>
          <w:rFonts w:eastAsia="仿宋_GB2312"/>
          <w:sz w:val="32"/>
          <w:szCs w:val="32"/>
        </w:rPr>
      </w:pPr>
      <w:r>
        <w:rPr>
          <w:rFonts w:eastAsia="仿宋_GB2312"/>
          <w:sz w:val="32"/>
          <w:szCs w:val="32"/>
        </w:rPr>
        <w:t>10.4明确该试剂仅限于规定的样本类型及适用机型。</w:t>
      </w:r>
    </w:p>
    <w:p>
      <w:pPr>
        <w:spacing w:line="520" w:lineRule="exact"/>
        <w:ind w:firstLine="640" w:firstLineChars="200"/>
        <w:rPr>
          <w:rFonts w:eastAsia="仿宋_GB2312"/>
          <w:sz w:val="32"/>
          <w:szCs w:val="32"/>
        </w:rPr>
      </w:pPr>
      <w:r>
        <w:rPr>
          <w:rFonts w:eastAsia="仿宋_GB2312"/>
          <w:sz w:val="32"/>
          <w:szCs w:val="32"/>
        </w:rPr>
        <w:t>11.【产品性能指标】</w:t>
      </w:r>
    </w:p>
    <w:p>
      <w:pPr>
        <w:snapToGrid w:val="0"/>
        <w:spacing w:line="520" w:lineRule="exact"/>
        <w:ind w:firstLine="640" w:firstLineChars="200"/>
        <w:rPr>
          <w:rFonts w:eastAsia="仿宋_GB2312"/>
          <w:sz w:val="32"/>
          <w:szCs w:val="32"/>
        </w:rPr>
      </w:pPr>
      <w:r>
        <w:rPr>
          <w:rFonts w:eastAsia="仿宋_GB2312"/>
          <w:sz w:val="32"/>
          <w:szCs w:val="32"/>
        </w:rPr>
        <w:t>简述试剂性能指标和研究情况，包括试验方法和结果，建议包含参考品符合性、准确度、检出限、包容性、精密度、分析特异性、临床试验等。</w:t>
      </w:r>
    </w:p>
    <w:p>
      <w:pPr>
        <w:spacing w:line="520" w:lineRule="exact"/>
        <w:ind w:firstLine="640" w:firstLineChars="200"/>
        <w:rPr>
          <w:rFonts w:eastAsia="仿宋_GB2312"/>
          <w:sz w:val="32"/>
          <w:szCs w:val="32"/>
        </w:rPr>
      </w:pPr>
      <w:r>
        <w:rPr>
          <w:rFonts w:eastAsia="仿宋_GB2312"/>
          <w:sz w:val="32"/>
          <w:szCs w:val="32"/>
        </w:rPr>
        <w:t>12.【注意事项】</w:t>
      </w:r>
    </w:p>
    <w:p>
      <w:pPr>
        <w:spacing w:line="520" w:lineRule="exact"/>
        <w:ind w:firstLine="640" w:firstLineChars="200"/>
        <w:rPr>
          <w:rFonts w:eastAsia="仿宋_GB2312"/>
          <w:sz w:val="32"/>
          <w:szCs w:val="32"/>
        </w:rPr>
      </w:pPr>
      <w:r>
        <w:rPr>
          <w:rFonts w:eastAsia="仿宋_GB2312"/>
          <w:sz w:val="32"/>
          <w:szCs w:val="32"/>
        </w:rPr>
        <w:t>应至少包括以下内容：</w:t>
      </w:r>
    </w:p>
    <w:p>
      <w:pPr>
        <w:spacing w:line="520" w:lineRule="exact"/>
        <w:ind w:firstLine="640" w:firstLineChars="200"/>
        <w:rPr>
          <w:rFonts w:eastAsia="仿宋_GB2312"/>
          <w:sz w:val="32"/>
          <w:szCs w:val="32"/>
        </w:rPr>
      </w:pPr>
      <w:r>
        <w:rPr>
          <w:rFonts w:eastAsia="仿宋_GB2312"/>
          <w:sz w:val="32"/>
          <w:szCs w:val="32"/>
        </w:rPr>
        <w:t>12.1有关人源组分（如有）的警告，如：试剂盒内校准品、质控品或其他可能含有人源物质的组分，虽已通过乙肝炎表面抗原（HbsAg）、人类免疫缺陷病毒抗体（抗-HIV1/2）、丙型肝炎抗体（抗-HCV）等项目的检测为阴性，但截至目前，没有任何一项检测可以确保绝对安全，故仍应将这些组分作为潜在传染源对待。提示对于潜在传染源的处理方式。</w:t>
      </w:r>
    </w:p>
    <w:p>
      <w:pPr>
        <w:spacing w:line="520" w:lineRule="exact"/>
        <w:ind w:firstLine="640" w:firstLineChars="200"/>
        <w:contextualSpacing/>
        <w:rPr>
          <w:rFonts w:eastAsia="仿宋_GB2312"/>
          <w:sz w:val="32"/>
          <w:szCs w:val="32"/>
        </w:rPr>
      </w:pPr>
      <w:r>
        <w:rPr>
          <w:rFonts w:eastAsia="仿宋_GB2312"/>
          <w:sz w:val="32"/>
          <w:szCs w:val="32"/>
        </w:rPr>
        <w:t>12.2临床实验室应严格按照《临床基因扩增实验室工作规范》配备设备及操作人员，应严格按照说明书要求进行操作。</w:t>
      </w:r>
    </w:p>
    <w:p>
      <w:pPr>
        <w:spacing w:line="520" w:lineRule="exact"/>
        <w:ind w:firstLine="640" w:firstLineChars="200"/>
        <w:contextualSpacing/>
        <w:rPr>
          <w:rFonts w:eastAsia="仿宋_GB2312"/>
          <w:sz w:val="32"/>
        </w:rPr>
      </w:pPr>
      <w:r>
        <w:rPr>
          <w:rFonts w:eastAsia="仿宋_GB2312"/>
          <w:sz w:val="32"/>
          <w:szCs w:val="32"/>
        </w:rPr>
        <w:t>12.3</w:t>
      </w:r>
      <w:r>
        <w:rPr>
          <w:rFonts w:eastAsia="仿宋_GB2312"/>
          <w:sz w:val="32"/>
        </w:rPr>
        <w:t>强调实验操作人员应接受过基因扩增或分子生物学方法检测的专业培训，具备相关的实验操作资格，实验室应具备合理的生物安全防备设施及防护程序。</w:t>
      </w:r>
    </w:p>
    <w:p>
      <w:pPr>
        <w:spacing w:line="520" w:lineRule="exact"/>
        <w:rPr>
          <w:rFonts w:eastAsia="黑体"/>
          <w:kern w:val="0"/>
          <w:sz w:val="32"/>
          <w:szCs w:val="32"/>
        </w:rPr>
      </w:pPr>
      <w:r>
        <w:rPr>
          <w:rFonts w:eastAsia="黑体"/>
          <w:kern w:val="0"/>
          <w:sz w:val="32"/>
          <w:szCs w:val="32"/>
        </w:rPr>
        <w:t xml:space="preserve">    三、参考文献</w:t>
      </w:r>
    </w:p>
    <w:p>
      <w:pPr>
        <w:spacing w:line="520" w:lineRule="exact"/>
        <w:ind w:firstLine="640" w:firstLineChars="200"/>
        <w:rPr>
          <w:rFonts w:eastAsia="黑体"/>
          <w:szCs w:val="32"/>
        </w:rPr>
      </w:pPr>
      <w:r>
        <w:rPr>
          <w:rFonts w:eastAsia="仿宋_GB2312"/>
          <w:sz w:val="32"/>
          <w:szCs w:val="32"/>
        </w:rPr>
        <w:t>[1] 国家药品监督管理局. 关于公布体外诊断试剂注册申报资料要求和批准证明文件格式的公告: 国家药品监督管理局公告2021年第122号[Z].</w:t>
      </w:r>
    </w:p>
    <w:p>
      <w:pPr>
        <w:spacing w:line="520" w:lineRule="exact"/>
        <w:ind w:firstLine="640" w:firstLineChars="200"/>
        <w:rPr>
          <w:rFonts w:eastAsia="仿宋_GB2312"/>
          <w:sz w:val="32"/>
          <w:szCs w:val="32"/>
        </w:rPr>
      </w:pPr>
      <w:r>
        <w:rPr>
          <w:rFonts w:eastAsia="仿宋_GB2312"/>
          <w:sz w:val="32"/>
          <w:szCs w:val="32"/>
        </w:rPr>
        <w:t>[2] 国家食品药品监督管理总局.体外诊断试剂说明书编写指导原则: 国家食品药品监督管理总局公告2014年第17号[Z].</w:t>
      </w:r>
    </w:p>
    <w:p>
      <w:pPr>
        <w:spacing w:line="520" w:lineRule="exact"/>
        <w:ind w:firstLine="640" w:firstLineChars="200"/>
        <w:rPr>
          <w:rFonts w:eastAsia="仿宋_GB2312"/>
          <w:sz w:val="32"/>
          <w:szCs w:val="32"/>
        </w:rPr>
      </w:pPr>
      <w:r>
        <w:rPr>
          <w:rFonts w:eastAsia="仿宋_GB2312"/>
          <w:sz w:val="32"/>
          <w:szCs w:val="32"/>
        </w:rPr>
        <w:t>[3] 国家药品监督管理局医疗器械技术审评中心.定性检测试剂分析性能评估注册审查指导原则: 国家药品监督管理局医疗器械技术审评中心公告2022年第36号[Z].</w:t>
      </w:r>
    </w:p>
    <w:sectPr>
      <w:footerReference r:id="rId5" w:type="default"/>
      <w:footerReference r:id="rId6" w:type="even"/>
      <w:pgSz w:w="11906" w:h="16838"/>
      <w:pgMar w:top="1701" w:right="1588" w:bottom="1701" w:left="1588" w:header="851" w:footer="992" w:gutter="0"/>
      <w:lnNumType w:countBy="1" w:restart="continuou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TradeGothic CondEighteen">
    <w:altName w:val="宋体"/>
    <w:panose1 w:val="00000000000000000000"/>
    <w:charset w:val="86"/>
    <w:family w:val="swiss"/>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rPr>
        <w:rFonts w:ascii="Times New Roman" w:hAnsi="Times New Roman" w:cs="Times New Roman"/>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jc w:val="right"/>
                          </w:pPr>
                          <w:r>
                            <w:rPr>
                              <w:rFonts w:ascii="Times New Roman" w:hAnsi="Times New Roman" w:cs="Times New Roman"/>
                              <w:sz w:val="28"/>
                              <w:szCs w:val="28"/>
                            </w:rPr>
                            <w:t xml:space="preserve">— </w:t>
                          </w:r>
                          <w:sdt>
                            <w:sdtPr>
                              <w:rPr>
                                <w:rFonts w:ascii="Times New Roman" w:hAnsi="Times New Roman" w:cs="Times New Roman"/>
                                <w:sz w:val="28"/>
                                <w:szCs w:val="28"/>
                              </w:rPr>
                              <w:id w:val="-916402484"/>
                            </w:sdtPr>
                            <w:sdtEndPr>
                              <w:rPr>
                                <w:rFonts w:ascii="Times New Roman" w:hAnsi="Times New Roman" w:cs="Times New Roman"/>
                                <w:sz w:val="28"/>
                                <w:szCs w:val="28"/>
                              </w:rPr>
                            </w:sdtEndPr>
                            <w:sdtContent>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6"/>
                      <w:jc w:val="right"/>
                    </w:pPr>
                    <w:r>
                      <w:rPr>
                        <w:rFonts w:ascii="Times New Roman" w:hAnsi="Times New Roman" w:cs="Times New Roman"/>
                        <w:sz w:val="28"/>
                        <w:szCs w:val="28"/>
                      </w:rPr>
                      <w:t xml:space="preserve">— </w:t>
                    </w:r>
                    <w:sdt>
                      <w:sdtPr>
                        <w:rPr>
                          <w:rFonts w:ascii="Times New Roman" w:hAnsi="Times New Roman" w:cs="Times New Roman"/>
                          <w:sz w:val="28"/>
                          <w:szCs w:val="28"/>
                        </w:rPr>
                        <w:id w:val="-916402484"/>
                      </w:sdtPr>
                      <w:sdtEndPr>
                        <w:rPr>
                          <w:rFonts w:ascii="Times New Roman" w:hAnsi="Times New Roman" w:cs="Times New Roman"/>
                          <w:sz w:val="28"/>
                          <w:szCs w:val="28"/>
                        </w:rPr>
                      </w:sdtEndPr>
                      <w:sdtContent>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sdtContent>
                    </w:sdt>
                  </w:p>
                </w:txbxContent>
              </v:textbox>
            </v:shape>
          </w:pict>
        </mc:Fallback>
      </mc:AlternateContent>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ascii="Times New Roman" w:hAnsi="Times New Roman" w:cs="Times New Roman"/>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527511297"/>
                          </w:sdtPr>
                          <w:sdtEndPr>
                            <w:rPr>
                              <w:rFonts w:ascii="Times New Roman" w:hAnsi="Times New Roman" w:cs="Times New Roman"/>
                              <w:sz w:val="28"/>
                              <w:szCs w:val="28"/>
                            </w:rPr>
                          </w:sdtEndPr>
                          <w:sdtContent>
                            <w:p>
                              <w:pPr>
                                <w:pStyle w:val="6"/>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22</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sdtContent>
                        </w:sdt>
                        <w:p>
                          <w:pPr>
                            <w:rPr>
                              <w:sz w:val="28"/>
                              <w:szCs w:val="2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sdt>
                    <w:sdtPr>
                      <w:id w:val="1527511297"/>
                    </w:sdtPr>
                    <w:sdtEndPr>
                      <w:rPr>
                        <w:rFonts w:ascii="Times New Roman" w:hAnsi="Times New Roman" w:cs="Times New Roman"/>
                        <w:sz w:val="28"/>
                        <w:szCs w:val="28"/>
                      </w:rPr>
                    </w:sdtEndPr>
                    <w:sdtContent>
                      <w:p>
                        <w:pPr>
                          <w:pStyle w:val="6"/>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22</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sdtContent>
                  </w:sdt>
                  <w:p>
                    <w:pPr>
                      <w:rPr>
                        <w:sz w:val="28"/>
                        <w:szCs w:val="28"/>
                      </w:rPr>
                    </w:pPr>
                  </w:p>
                </w:txbxContent>
              </v:textbox>
            </v:shape>
          </w:pict>
        </mc:Fallback>
      </mc:AlternateContent>
    </w:r>
  </w:p>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rPr>
        <w:rFonts w:ascii="Times New Roman" w:hAnsi="Times New Roman" w:cs="Times New Roman"/>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jc w:val="right"/>
                          </w:pPr>
                          <w:r>
                            <w:rPr>
                              <w:rFonts w:ascii="Times New Roman" w:hAnsi="Times New Roman" w:cs="Times New Roman"/>
                              <w:sz w:val="28"/>
                              <w:szCs w:val="28"/>
                            </w:rPr>
                            <w:t xml:space="preserve">— </w:t>
                          </w:r>
                          <w:sdt>
                            <w:sdtPr>
                              <w:rPr>
                                <w:rFonts w:ascii="Times New Roman" w:hAnsi="Times New Roman" w:cs="Times New Roman"/>
                                <w:sz w:val="28"/>
                                <w:szCs w:val="28"/>
                              </w:rPr>
                              <w:id w:val="552049233"/>
                            </w:sdtPr>
                            <w:sdtEndPr>
                              <w:rPr>
                                <w:rFonts w:ascii="Times New Roman" w:hAnsi="Times New Roman" w:cs="Times New Roman"/>
                                <w:sz w:val="28"/>
                                <w:szCs w:val="28"/>
                              </w:rPr>
                            </w:sdtEndPr>
                            <w:sdtContent>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23</w:t>
                              </w:r>
                              <w:r>
                                <w:rPr>
                                  <w:rFonts w:ascii="Times New Roman" w:hAnsi="Times New Roman" w:cs="Times New Roman"/>
                                  <w:sz w:val="28"/>
                                  <w:szCs w:val="28"/>
                                </w:rPr>
                                <w:fldChar w:fldCharType="end"/>
                              </w:r>
                              <w:r>
                                <w:rPr>
                                  <w:rFonts w:ascii="Times New Roman" w:hAnsi="Times New Roman" w:cs="Times New Roman"/>
                                  <w:sz w:val="28"/>
                                  <w:szCs w:val="28"/>
                                </w:rPr>
                                <w:t xml:space="preserve"> —</w:t>
                              </w:r>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6"/>
                      <w:jc w:val="right"/>
                    </w:pPr>
                    <w:r>
                      <w:rPr>
                        <w:rFonts w:ascii="Times New Roman" w:hAnsi="Times New Roman" w:cs="Times New Roman"/>
                        <w:sz w:val="28"/>
                        <w:szCs w:val="28"/>
                      </w:rPr>
                      <w:t xml:space="preserve">— </w:t>
                    </w:r>
                    <w:sdt>
                      <w:sdtPr>
                        <w:rPr>
                          <w:rFonts w:ascii="Times New Roman" w:hAnsi="Times New Roman" w:cs="Times New Roman"/>
                          <w:sz w:val="28"/>
                          <w:szCs w:val="28"/>
                        </w:rPr>
                        <w:id w:val="552049233"/>
                      </w:sdtPr>
                      <w:sdtEndPr>
                        <w:rPr>
                          <w:rFonts w:ascii="Times New Roman" w:hAnsi="Times New Roman" w:cs="Times New Roman"/>
                          <w:sz w:val="28"/>
                          <w:szCs w:val="28"/>
                        </w:rPr>
                      </w:sdtEndPr>
                      <w:sdtContent>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23</w:t>
                        </w:r>
                        <w:r>
                          <w:rPr>
                            <w:rFonts w:ascii="Times New Roman" w:hAnsi="Times New Roman" w:cs="Times New Roman"/>
                            <w:sz w:val="28"/>
                            <w:szCs w:val="28"/>
                          </w:rPr>
                          <w:fldChar w:fldCharType="end"/>
                        </w:r>
                        <w:r>
                          <w:rPr>
                            <w:rFonts w:ascii="Times New Roman" w:hAnsi="Times New Roman" w:cs="Times New Roman"/>
                            <w:sz w:val="28"/>
                            <w:szCs w:val="28"/>
                          </w:rPr>
                          <w:t xml:space="preserve"> —</w:t>
                        </w:r>
                      </w:sdtContent>
                    </w:sdt>
                  </w:p>
                </w:txbxContent>
              </v:textbox>
            </v:shape>
          </w:pict>
        </mc:Fallback>
      </mc:AlternateContent>
    </w:r>
  </w:p>
  <w:p>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ascii="Times New Roman" w:hAnsi="Times New Roman" w:cs="Times New Roman"/>
        <w:sz w:val="28"/>
        <w:szCs w:val="28"/>
      </w:rPr>
    </w:pPr>
    <w:r>
      <w:rPr>
        <w:sz w:val="2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946340619"/>
                          </w:sdtPr>
                          <w:sdtEndPr>
                            <w:rPr>
                              <w:rFonts w:ascii="Times New Roman" w:hAnsi="Times New Roman" w:cs="Times New Roman"/>
                              <w:sz w:val="28"/>
                              <w:szCs w:val="28"/>
                            </w:rPr>
                          </w:sdtEndPr>
                          <w:sdtContent>
                            <w:p>
                              <w:pPr>
                                <w:pStyle w:val="6"/>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24</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sdtContent>
                        </w:sdt>
                        <w:p>
                          <w:pPr>
                            <w:rPr>
                              <w:sz w:val="28"/>
                              <w:szCs w:val="2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sdt>
                    <w:sdtPr>
                      <w:id w:val="1946340619"/>
                    </w:sdtPr>
                    <w:sdtEndPr>
                      <w:rPr>
                        <w:rFonts w:ascii="Times New Roman" w:hAnsi="Times New Roman" w:cs="Times New Roman"/>
                        <w:sz w:val="28"/>
                        <w:szCs w:val="28"/>
                      </w:rPr>
                    </w:sdtEndPr>
                    <w:sdtContent>
                      <w:p>
                        <w:pPr>
                          <w:pStyle w:val="6"/>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24</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sdtContent>
                  </w:sdt>
                  <w:p>
                    <w:pPr>
                      <w:rPr>
                        <w:sz w:val="28"/>
                        <w:szCs w:val="28"/>
                      </w:rPr>
                    </w:pPr>
                  </w:p>
                </w:txbxContent>
              </v:textbox>
            </v:shape>
          </w:pict>
        </mc:Fallback>
      </mc:AlternateContent>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9CA069"/>
    <w:multiLevelType w:val="singleLevel"/>
    <w:tmpl w:val="599CA069"/>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ZhNTk5ZDM1YjliNTI1N2EzZmE5OWQ0MDQ5NzkyOWMifQ=="/>
  </w:docVars>
  <w:rsids>
    <w:rsidRoot w:val="00172A27"/>
    <w:rsid w:val="00000343"/>
    <w:rsid w:val="00001703"/>
    <w:rsid w:val="000032AF"/>
    <w:rsid w:val="00003528"/>
    <w:rsid w:val="00003DB9"/>
    <w:rsid w:val="00003FEE"/>
    <w:rsid w:val="000054DE"/>
    <w:rsid w:val="00005939"/>
    <w:rsid w:val="00005B4B"/>
    <w:rsid w:val="00005CE5"/>
    <w:rsid w:val="00006831"/>
    <w:rsid w:val="000068FC"/>
    <w:rsid w:val="000078AC"/>
    <w:rsid w:val="00010388"/>
    <w:rsid w:val="0001057D"/>
    <w:rsid w:val="000108A5"/>
    <w:rsid w:val="00012EB3"/>
    <w:rsid w:val="000131A5"/>
    <w:rsid w:val="0001361A"/>
    <w:rsid w:val="0001394D"/>
    <w:rsid w:val="00017057"/>
    <w:rsid w:val="00020C17"/>
    <w:rsid w:val="00020F7F"/>
    <w:rsid w:val="000214C8"/>
    <w:rsid w:val="0002333E"/>
    <w:rsid w:val="0002385D"/>
    <w:rsid w:val="00026E93"/>
    <w:rsid w:val="00026EAE"/>
    <w:rsid w:val="00030301"/>
    <w:rsid w:val="00030855"/>
    <w:rsid w:val="00031601"/>
    <w:rsid w:val="00032A49"/>
    <w:rsid w:val="00032C6B"/>
    <w:rsid w:val="00033729"/>
    <w:rsid w:val="000339E0"/>
    <w:rsid w:val="000348B8"/>
    <w:rsid w:val="000359DB"/>
    <w:rsid w:val="00036AB5"/>
    <w:rsid w:val="000400D7"/>
    <w:rsid w:val="00041654"/>
    <w:rsid w:val="00042205"/>
    <w:rsid w:val="00042EED"/>
    <w:rsid w:val="00044128"/>
    <w:rsid w:val="000467BD"/>
    <w:rsid w:val="000472D0"/>
    <w:rsid w:val="00050837"/>
    <w:rsid w:val="000513E8"/>
    <w:rsid w:val="00052B21"/>
    <w:rsid w:val="000532B5"/>
    <w:rsid w:val="00053B2D"/>
    <w:rsid w:val="00053EE2"/>
    <w:rsid w:val="000542B0"/>
    <w:rsid w:val="000546B3"/>
    <w:rsid w:val="0005588D"/>
    <w:rsid w:val="000566F8"/>
    <w:rsid w:val="00057331"/>
    <w:rsid w:val="00060CFF"/>
    <w:rsid w:val="00063E7A"/>
    <w:rsid w:val="00065BFB"/>
    <w:rsid w:val="00066380"/>
    <w:rsid w:val="000675BA"/>
    <w:rsid w:val="00071378"/>
    <w:rsid w:val="000716C1"/>
    <w:rsid w:val="00072751"/>
    <w:rsid w:val="00072A67"/>
    <w:rsid w:val="000732AD"/>
    <w:rsid w:val="000740AC"/>
    <w:rsid w:val="0007499C"/>
    <w:rsid w:val="000769CC"/>
    <w:rsid w:val="000771B1"/>
    <w:rsid w:val="0007749C"/>
    <w:rsid w:val="00080280"/>
    <w:rsid w:val="00081440"/>
    <w:rsid w:val="00081B6B"/>
    <w:rsid w:val="00082712"/>
    <w:rsid w:val="00083C57"/>
    <w:rsid w:val="000849C5"/>
    <w:rsid w:val="000860B8"/>
    <w:rsid w:val="0008699E"/>
    <w:rsid w:val="00087748"/>
    <w:rsid w:val="00091D77"/>
    <w:rsid w:val="000926E1"/>
    <w:rsid w:val="00093CF7"/>
    <w:rsid w:val="000943A7"/>
    <w:rsid w:val="000945FC"/>
    <w:rsid w:val="00094EAB"/>
    <w:rsid w:val="00095E58"/>
    <w:rsid w:val="00096594"/>
    <w:rsid w:val="000A12A2"/>
    <w:rsid w:val="000A1A2F"/>
    <w:rsid w:val="000A30E8"/>
    <w:rsid w:val="000A575B"/>
    <w:rsid w:val="000A5BC5"/>
    <w:rsid w:val="000A6DA8"/>
    <w:rsid w:val="000A7074"/>
    <w:rsid w:val="000A799D"/>
    <w:rsid w:val="000B0EDB"/>
    <w:rsid w:val="000B19DF"/>
    <w:rsid w:val="000B3D1C"/>
    <w:rsid w:val="000B4899"/>
    <w:rsid w:val="000B5846"/>
    <w:rsid w:val="000B6B88"/>
    <w:rsid w:val="000B79E9"/>
    <w:rsid w:val="000B7C12"/>
    <w:rsid w:val="000C0BDA"/>
    <w:rsid w:val="000C0D1D"/>
    <w:rsid w:val="000C15D4"/>
    <w:rsid w:val="000C2808"/>
    <w:rsid w:val="000C2CDB"/>
    <w:rsid w:val="000C430B"/>
    <w:rsid w:val="000C4C2B"/>
    <w:rsid w:val="000C5C03"/>
    <w:rsid w:val="000C6812"/>
    <w:rsid w:val="000C6D82"/>
    <w:rsid w:val="000C7A25"/>
    <w:rsid w:val="000D0F14"/>
    <w:rsid w:val="000D1204"/>
    <w:rsid w:val="000D1928"/>
    <w:rsid w:val="000D21FA"/>
    <w:rsid w:val="000D2A1A"/>
    <w:rsid w:val="000D3276"/>
    <w:rsid w:val="000D5FDF"/>
    <w:rsid w:val="000D6F0B"/>
    <w:rsid w:val="000D6FE3"/>
    <w:rsid w:val="000D7716"/>
    <w:rsid w:val="000D7A63"/>
    <w:rsid w:val="000E03D8"/>
    <w:rsid w:val="000E047D"/>
    <w:rsid w:val="000E0753"/>
    <w:rsid w:val="000E0D8B"/>
    <w:rsid w:val="000E0E1C"/>
    <w:rsid w:val="000E143F"/>
    <w:rsid w:val="000E2460"/>
    <w:rsid w:val="000E2657"/>
    <w:rsid w:val="000E2D3C"/>
    <w:rsid w:val="000E40D0"/>
    <w:rsid w:val="000E460B"/>
    <w:rsid w:val="000E4C41"/>
    <w:rsid w:val="000E4C7D"/>
    <w:rsid w:val="000E5458"/>
    <w:rsid w:val="000E5469"/>
    <w:rsid w:val="000E58B4"/>
    <w:rsid w:val="000E59E3"/>
    <w:rsid w:val="000E6DE5"/>
    <w:rsid w:val="000E7030"/>
    <w:rsid w:val="000F00B9"/>
    <w:rsid w:val="000F08D4"/>
    <w:rsid w:val="000F1639"/>
    <w:rsid w:val="000F5B19"/>
    <w:rsid w:val="000F66FE"/>
    <w:rsid w:val="000F7588"/>
    <w:rsid w:val="001018FA"/>
    <w:rsid w:val="00102728"/>
    <w:rsid w:val="001040C6"/>
    <w:rsid w:val="00104311"/>
    <w:rsid w:val="00104CF9"/>
    <w:rsid w:val="0010504B"/>
    <w:rsid w:val="00105AA8"/>
    <w:rsid w:val="00107873"/>
    <w:rsid w:val="00110E73"/>
    <w:rsid w:val="001111F5"/>
    <w:rsid w:val="001117D2"/>
    <w:rsid w:val="001128A1"/>
    <w:rsid w:val="00112A2E"/>
    <w:rsid w:val="00112D6B"/>
    <w:rsid w:val="00112E17"/>
    <w:rsid w:val="00113996"/>
    <w:rsid w:val="00114F10"/>
    <w:rsid w:val="00115FDC"/>
    <w:rsid w:val="00120553"/>
    <w:rsid w:val="001210B9"/>
    <w:rsid w:val="0012212C"/>
    <w:rsid w:val="00122D4D"/>
    <w:rsid w:val="001238B8"/>
    <w:rsid w:val="00123EAB"/>
    <w:rsid w:val="00124A2C"/>
    <w:rsid w:val="00124C12"/>
    <w:rsid w:val="00125776"/>
    <w:rsid w:val="00125986"/>
    <w:rsid w:val="00125C38"/>
    <w:rsid w:val="00126009"/>
    <w:rsid w:val="00126C3B"/>
    <w:rsid w:val="0013012E"/>
    <w:rsid w:val="001301CF"/>
    <w:rsid w:val="0013067A"/>
    <w:rsid w:val="00130E32"/>
    <w:rsid w:val="00131607"/>
    <w:rsid w:val="00132D73"/>
    <w:rsid w:val="00134591"/>
    <w:rsid w:val="00134DD5"/>
    <w:rsid w:val="001352E4"/>
    <w:rsid w:val="00140E35"/>
    <w:rsid w:val="001413A7"/>
    <w:rsid w:val="0014153E"/>
    <w:rsid w:val="0014383E"/>
    <w:rsid w:val="00145372"/>
    <w:rsid w:val="001455AC"/>
    <w:rsid w:val="0014615A"/>
    <w:rsid w:val="001463ED"/>
    <w:rsid w:val="0015067A"/>
    <w:rsid w:val="00150C3F"/>
    <w:rsid w:val="001533F6"/>
    <w:rsid w:val="00154833"/>
    <w:rsid w:val="0015488E"/>
    <w:rsid w:val="00154C70"/>
    <w:rsid w:val="00155B5D"/>
    <w:rsid w:val="001576BA"/>
    <w:rsid w:val="00160408"/>
    <w:rsid w:val="00160E38"/>
    <w:rsid w:val="001611A8"/>
    <w:rsid w:val="001611E1"/>
    <w:rsid w:val="00162C50"/>
    <w:rsid w:val="00162F8A"/>
    <w:rsid w:val="00163581"/>
    <w:rsid w:val="001635BC"/>
    <w:rsid w:val="00163F9B"/>
    <w:rsid w:val="001665F9"/>
    <w:rsid w:val="0016674B"/>
    <w:rsid w:val="00166E00"/>
    <w:rsid w:val="00166F4D"/>
    <w:rsid w:val="00167C8C"/>
    <w:rsid w:val="00170794"/>
    <w:rsid w:val="001719D9"/>
    <w:rsid w:val="00172A27"/>
    <w:rsid w:val="00174C55"/>
    <w:rsid w:val="0017577B"/>
    <w:rsid w:val="001763AC"/>
    <w:rsid w:val="00176575"/>
    <w:rsid w:val="00176A61"/>
    <w:rsid w:val="00177FD7"/>
    <w:rsid w:val="00181571"/>
    <w:rsid w:val="00181D81"/>
    <w:rsid w:val="00182D43"/>
    <w:rsid w:val="001835B9"/>
    <w:rsid w:val="00184793"/>
    <w:rsid w:val="00184A5A"/>
    <w:rsid w:val="00184BE1"/>
    <w:rsid w:val="0018552E"/>
    <w:rsid w:val="00186998"/>
    <w:rsid w:val="00187E96"/>
    <w:rsid w:val="001902E6"/>
    <w:rsid w:val="00190A49"/>
    <w:rsid w:val="00193C08"/>
    <w:rsid w:val="00193CC9"/>
    <w:rsid w:val="00193EFB"/>
    <w:rsid w:val="00194541"/>
    <w:rsid w:val="001950DB"/>
    <w:rsid w:val="001961FE"/>
    <w:rsid w:val="00196CF5"/>
    <w:rsid w:val="00196EE9"/>
    <w:rsid w:val="001A152F"/>
    <w:rsid w:val="001A2DDC"/>
    <w:rsid w:val="001A33FB"/>
    <w:rsid w:val="001A6646"/>
    <w:rsid w:val="001A6FD2"/>
    <w:rsid w:val="001A71B0"/>
    <w:rsid w:val="001A789E"/>
    <w:rsid w:val="001B0C4B"/>
    <w:rsid w:val="001B1534"/>
    <w:rsid w:val="001B1622"/>
    <w:rsid w:val="001B20DF"/>
    <w:rsid w:val="001B2865"/>
    <w:rsid w:val="001B5A31"/>
    <w:rsid w:val="001B6432"/>
    <w:rsid w:val="001B7868"/>
    <w:rsid w:val="001C01B7"/>
    <w:rsid w:val="001C080A"/>
    <w:rsid w:val="001C0AF1"/>
    <w:rsid w:val="001C1B75"/>
    <w:rsid w:val="001C32BA"/>
    <w:rsid w:val="001C38D6"/>
    <w:rsid w:val="001C59EB"/>
    <w:rsid w:val="001C77E3"/>
    <w:rsid w:val="001D0081"/>
    <w:rsid w:val="001D2DD6"/>
    <w:rsid w:val="001D301F"/>
    <w:rsid w:val="001D39A3"/>
    <w:rsid w:val="001D5557"/>
    <w:rsid w:val="001D5B5A"/>
    <w:rsid w:val="001D5CCE"/>
    <w:rsid w:val="001D7396"/>
    <w:rsid w:val="001D77B5"/>
    <w:rsid w:val="001D79B4"/>
    <w:rsid w:val="001E1B77"/>
    <w:rsid w:val="001E27FF"/>
    <w:rsid w:val="001E5550"/>
    <w:rsid w:val="001E6B2D"/>
    <w:rsid w:val="001F06CD"/>
    <w:rsid w:val="001F31A4"/>
    <w:rsid w:val="001F35CC"/>
    <w:rsid w:val="001F35CF"/>
    <w:rsid w:val="001F5041"/>
    <w:rsid w:val="001F50E4"/>
    <w:rsid w:val="001F6CB5"/>
    <w:rsid w:val="001F74EB"/>
    <w:rsid w:val="00200BF4"/>
    <w:rsid w:val="002018A7"/>
    <w:rsid w:val="00201E1E"/>
    <w:rsid w:val="002043E4"/>
    <w:rsid w:val="00204740"/>
    <w:rsid w:val="00205B93"/>
    <w:rsid w:val="00206467"/>
    <w:rsid w:val="00206FC0"/>
    <w:rsid w:val="00207815"/>
    <w:rsid w:val="00210D7F"/>
    <w:rsid w:val="00212ADB"/>
    <w:rsid w:val="002133E9"/>
    <w:rsid w:val="0021405E"/>
    <w:rsid w:val="0021478E"/>
    <w:rsid w:val="00214AA4"/>
    <w:rsid w:val="00214E39"/>
    <w:rsid w:val="00215D01"/>
    <w:rsid w:val="00216687"/>
    <w:rsid w:val="00217375"/>
    <w:rsid w:val="002175A5"/>
    <w:rsid w:val="00220E45"/>
    <w:rsid w:val="00221BFB"/>
    <w:rsid w:val="002230AB"/>
    <w:rsid w:val="002241D3"/>
    <w:rsid w:val="00225062"/>
    <w:rsid w:val="002250C0"/>
    <w:rsid w:val="00227373"/>
    <w:rsid w:val="00230EEB"/>
    <w:rsid w:val="002336CA"/>
    <w:rsid w:val="00236606"/>
    <w:rsid w:val="00237869"/>
    <w:rsid w:val="00237C3F"/>
    <w:rsid w:val="00240021"/>
    <w:rsid w:val="00240C6E"/>
    <w:rsid w:val="00242563"/>
    <w:rsid w:val="0024324C"/>
    <w:rsid w:val="00243F37"/>
    <w:rsid w:val="00245824"/>
    <w:rsid w:val="00246184"/>
    <w:rsid w:val="00247370"/>
    <w:rsid w:val="00250A3D"/>
    <w:rsid w:val="00252F2B"/>
    <w:rsid w:val="00253B45"/>
    <w:rsid w:val="00253E17"/>
    <w:rsid w:val="0025495E"/>
    <w:rsid w:val="002549F1"/>
    <w:rsid w:val="00256FFD"/>
    <w:rsid w:val="00260B08"/>
    <w:rsid w:val="00261092"/>
    <w:rsid w:val="00263647"/>
    <w:rsid w:val="00263B74"/>
    <w:rsid w:val="00264BB0"/>
    <w:rsid w:val="00265420"/>
    <w:rsid w:val="00265C65"/>
    <w:rsid w:val="00266332"/>
    <w:rsid w:val="00271131"/>
    <w:rsid w:val="00271787"/>
    <w:rsid w:val="002717C0"/>
    <w:rsid w:val="00272114"/>
    <w:rsid w:val="002722FC"/>
    <w:rsid w:val="00275934"/>
    <w:rsid w:val="00276E7E"/>
    <w:rsid w:val="00282002"/>
    <w:rsid w:val="00282935"/>
    <w:rsid w:val="00283D33"/>
    <w:rsid w:val="00283E38"/>
    <w:rsid w:val="002840A9"/>
    <w:rsid w:val="002849C7"/>
    <w:rsid w:val="00286AEB"/>
    <w:rsid w:val="0028708D"/>
    <w:rsid w:val="00291E51"/>
    <w:rsid w:val="00293967"/>
    <w:rsid w:val="00294BB4"/>
    <w:rsid w:val="002960BB"/>
    <w:rsid w:val="00296A91"/>
    <w:rsid w:val="00296BA4"/>
    <w:rsid w:val="002973B4"/>
    <w:rsid w:val="002A02A5"/>
    <w:rsid w:val="002A053A"/>
    <w:rsid w:val="002A08E0"/>
    <w:rsid w:val="002A1069"/>
    <w:rsid w:val="002A23A5"/>
    <w:rsid w:val="002A3802"/>
    <w:rsid w:val="002A39BA"/>
    <w:rsid w:val="002A3DD3"/>
    <w:rsid w:val="002A4FA0"/>
    <w:rsid w:val="002A559B"/>
    <w:rsid w:val="002A5619"/>
    <w:rsid w:val="002A790D"/>
    <w:rsid w:val="002B023B"/>
    <w:rsid w:val="002B02FD"/>
    <w:rsid w:val="002B06BB"/>
    <w:rsid w:val="002B0A5F"/>
    <w:rsid w:val="002B1391"/>
    <w:rsid w:val="002B13D3"/>
    <w:rsid w:val="002B3C75"/>
    <w:rsid w:val="002B7130"/>
    <w:rsid w:val="002C0272"/>
    <w:rsid w:val="002C1212"/>
    <w:rsid w:val="002C1478"/>
    <w:rsid w:val="002C3C05"/>
    <w:rsid w:val="002C41F6"/>
    <w:rsid w:val="002C42BF"/>
    <w:rsid w:val="002C6F93"/>
    <w:rsid w:val="002C7DF2"/>
    <w:rsid w:val="002D091A"/>
    <w:rsid w:val="002D193E"/>
    <w:rsid w:val="002D19C1"/>
    <w:rsid w:val="002D2E47"/>
    <w:rsid w:val="002D3F97"/>
    <w:rsid w:val="002D4547"/>
    <w:rsid w:val="002D5286"/>
    <w:rsid w:val="002D5558"/>
    <w:rsid w:val="002D5DE5"/>
    <w:rsid w:val="002E03EC"/>
    <w:rsid w:val="002E0D59"/>
    <w:rsid w:val="002E1050"/>
    <w:rsid w:val="002E1E0D"/>
    <w:rsid w:val="002E51D3"/>
    <w:rsid w:val="002E59DE"/>
    <w:rsid w:val="002E5A65"/>
    <w:rsid w:val="002E70CF"/>
    <w:rsid w:val="002E7EEF"/>
    <w:rsid w:val="002F05A2"/>
    <w:rsid w:val="002F1213"/>
    <w:rsid w:val="002F13A3"/>
    <w:rsid w:val="002F14DC"/>
    <w:rsid w:val="002F4445"/>
    <w:rsid w:val="002F48D2"/>
    <w:rsid w:val="002F5513"/>
    <w:rsid w:val="002F5672"/>
    <w:rsid w:val="002F6C79"/>
    <w:rsid w:val="002F73E8"/>
    <w:rsid w:val="00300501"/>
    <w:rsid w:val="00300FA9"/>
    <w:rsid w:val="00301F97"/>
    <w:rsid w:val="00302D07"/>
    <w:rsid w:val="00303DBF"/>
    <w:rsid w:val="003043A9"/>
    <w:rsid w:val="00304E36"/>
    <w:rsid w:val="0030510C"/>
    <w:rsid w:val="00306104"/>
    <w:rsid w:val="00307650"/>
    <w:rsid w:val="003078D5"/>
    <w:rsid w:val="00307C91"/>
    <w:rsid w:val="00310152"/>
    <w:rsid w:val="003104BE"/>
    <w:rsid w:val="003107D7"/>
    <w:rsid w:val="003126E7"/>
    <w:rsid w:val="00312F2E"/>
    <w:rsid w:val="0031431B"/>
    <w:rsid w:val="00314C40"/>
    <w:rsid w:val="00315956"/>
    <w:rsid w:val="00316201"/>
    <w:rsid w:val="0031735F"/>
    <w:rsid w:val="00320F31"/>
    <w:rsid w:val="00322F9C"/>
    <w:rsid w:val="0032348C"/>
    <w:rsid w:val="00324D2A"/>
    <w:rsid w:val="00327C0E"/>
    <w:rsid w:val="00327DE6"/>
    <w:rsid w:val="003302C9"/>
    <w:rsid w:val="00332B3B"/>
    <w:rsid w:val="00335025"/>
    <w:rsid w:val="00337496"/>
    <w:rsid w:val="00337576"/>
    <w:rsid w:val="00341C3E"/>
    <w:rsid w:val="00343C5D"/>
    <w:rsid w:val="003459BC"/>
    <w:rsid w:val="00346339"/>
    <w:rsid w:val="00346B34"/>
    <w:rsid w:val="00347508"/>
    <w:rsid w:val="00347F0E"/>
    <w:rsid w:val="003510BD"/>
    <w:rsid w:val="0035126E"/>
    <w:rsid w:val="003522CC"/>
    <w:rsid w:val="003526FD"/>
    <w:rsid w:val="0035314D"/>
    <w:rsid w:val="003544F5"/>
    <w:rsid w:val="00354649"/>
    <w:rsid w:val="003546E7"/>
    <w:rsid w:val="0035574E"/>
    <w:rsid w:val="0035591F"/>
    <w:rsid w:val="00356164"/>
    <w:rsid w:val="0035758D"/>
    <w:rsid w:val="00357635"/>
    <w:rsid w:val="00360794"/>
    <w:rsid w:val="00360D34"/>
    <w:rsid w:val="00360E7D"/>
    <w:rsid w:val="003625A9"/>
    <w:rsid w:val="00363A07"/>
    <w:rsid w:val="00363F0E"/>
    <w:rsid w:val="00364B09"/>
    <w:rsid w:val="00365063"/>
    <w:rsid w:val="00365887"/>
    <w:rsid w:val="00367975"/>
    <w:rsid w:val="00370754"/>
    <w:rsid w:val="00371DAC"/>
    <w:rsid w:val="0037243D"/>
    <w:rsid w:val="00372FE0"/>
    <w:rsid w:val="003734D9"/>
    <w:rsid w:val="00373883"/>
    <w:rsid w:val="00373ADD"/>
    <w:rsid w:val="00373B03"/>
    <w:rsid w:val="00374240"/>
    <w:rsid w:val="003743C9"/>
    <w:rsid w:val="00375908"/>
    <w:rsid w:val="00375B5D"/>
    <w:rsid w:val="00375EC2"/>
    <w:rsid w:val="00375F7A"/>
    <w:rsid w:val="003771DE"/>
    <w:rsid w:val="00377700"/>
    <w:rsid w:val="003830A3"/>
    <w:rsid w:val="00384E39"/>
    <w:rsid w:val="003855AF"/>
    <w:rsid w:val="00385F3B"/>
    <w:rsid w:val="00386E6D"/>
    <w:rsid w:val="00387CAB"/>
    <w:rsid w:val="00390DFF"/>
    <w:rsid w:val="00392D52"/>
    <w:rsid w:val="0039452D"/>
    <w:rsid w:val="00394762"/>
    <w:rsid w:val="003A104D"/>
    <w:rsid w:val="003A19F3"/>
    <w:rsid w:val="003A1BAB"/>
    <w:rsid w:val="003A2808"/>
    <w:rsid w:val="003A3BDD"/>
    <w:rsid w:val="003A519C"/>
    <w:rsid w:val="003A7092"/>
    <w:rsid w:val="003A760D"/>
    <w:rsid w:val="003A78CF"/>
    <w:rsid w:val="003B14EC"/>
    <w:rsid w:val="003B2622"/>
    <w:rsid w:val="003B3944"/>
    <w:rsid w:val="003B3E84"/>
    <w:rsid w:val="003B486B"/>
    <w:rsid w:val="003B4A3C"/>
    <w:rsid w:val="003B57D4"/>
    <w:rsid w:val="003B7264"/>
    <w:rsid w:val="003B7428"/>
    <w:rsid w:val="003B7F96"/>
    <w:rsid w:val="003C09DA"/>
    <w:rsid w:val="003C0BF1"/>
    <w:rsid w:val="003C13E7"/>
    <w:rsid w:val="003C1E1F"/>
    <w:rsid w:val="003C2D80"/>
    <w:rsid w:val="003C383C"/>
    <w:rsid w:val="003C48B4"/>
    <w:rsid w:val="003C64F4"/>
    <w:rsid w:val="003C6EC7"/>
    <w:rsid w:val="003D12AD"/>
    <w:rsid w:val="003D1EBD"/>
    <w:rsid w:val="003D31C5"/>
    <w:rsid w:val="003D36D0"/>
    <w:rsid w:val="003D3B26"/>
    <w:rsid w:val="003D3F11"/>
    <w:rsid w:val="003D7C96"/>
    <w:rsid w:val="003D7D4C"/>
    <w:rsid w:val="003D7E7C"/>
    <w:rsid w:val="003D7F9B"/>
    <w:rsid w:val="003E1967"/>
    <w:rsid w:val="003E1AD6"/>
    <w:rsid w:val="003E215F"/>
    <w:rsid w:val="003E2ACC"/>
    <w:rsid w:val="003E2B2F"/>
    <w:rsid w:val="003E3F41"/>
    <w:rsid w:val="003E40CA"/>
    <w:rsid w:val="003E461C"/>
    <w:rsid w:val="003E4D2F"/>
    <w:rsid w:val="003E546C"/>
    <w:rsid w:val="003E5738"/>
    <w:rsid w:val="003E5B06"/>
    <w:rsid w:val="003E5FE5"/>
    <w:rsid w:val="003E614B"/>
    <w:rsid w:val="003E74F2"/>
    <w:rsid w:val="003E75FA"/>
    <w:rsid w:val="003F031F"/>
    <w:rsid w:val="003F063B"/>
    <w:rsid w:val="003F06A1"/>
    <w:rsid w:val="003F10D5"/>
    <w:rsid w:val="003F2ECA"/>
    <w:rsid w:val="003F35F8"/>
    <w:rsid w:val="003F4D6A"/>
    <w:rsid w:val="003F5B77"/>
    <w:rsid w:val="00400DA8"/>
    <w:rsid w:val="00402EEE"/>
    <w:rsid w:val="00403536"/>
    <w:rsid w:val="00403AF7"/>
    <w:rsid w:val="0040544D"/>
    <w:rsid w:val="004055B2"/>
    <w:rsid w:val="00405778"/>
    <w:rsid w:val="00405B45"/>
    <w:rsid w:val="00406592"/>
    <w:rsid w:val="00406CE0"/>
    <w:rsid w:val="00407696"/>
    <w:rsid w:val="00407E1F"/>
    <w:rsid w:val="004100EC"/>
    <w:rsid w:val="00411BF8"/>
    <w:rsid w:val="00411DAA"/>
    <w:rsid w:val="004124A6"/>
    <w:rsid w:val="00412A19"/>
    <w:rsid w:val="00412D1E"/>
    <w:rsid w:val="00413131"/>
    <w:rsid w:val="00413557"/>
    <w:rsid w:val="00413976"/>
    <w:rsid w:val="00413C14"/>
    <w:rsid w:val="00414F9F"/>
    <w:rsid w:val="004154E3"/>
    <w:rsid w:val="00416EAB"/>
    <w:rsid w:val="004172F1"/>
    <w:rsid w:val="00421787"/>
    <w:rsid w:val="004219B0"/>
    <w:rsid w:val="00424C29"/>
    <w:rsid w:val="004302D1"/>
    <w:rsid w:val="00430EEB"/>
    <w:rsid w:val="00430F88"/>
    <w:rsid w:val="0043227F"/>
    <w:rsid w:val="00432DA3"/>
    <w:rsid w:val="004333C5"/>
    <w:rsid w:val="004342D1"/>
    <w:rsid w:val="004404F2"/>
    <w:rsid w:val="004406BC"/>
    <w:rsid w:val="00442DB6"/>
    <w:rsid w:val="00443F32"/>
    <w:rsid w:val="00444256"/>
    <w:rsid w:val="00444DDD"/>
    <w:rsid w:val="00445B25"/>
    <w:rsid w:val="0044711F"/>
    <w:rsid w:val="00450EA9"/>
    <w:rsid w:val="00451B60"/>
    <w:rsid w:val="004522FF"/>
    <w:rsid w:val="00452C51"/>
    <w:rsid w:val="0045308E"/>
    <w:rsid w:val="00453348"/>
    <w:rsid w:val="00453528"/>
    <w:rsid w:val="004539B4"/>
    <w:rsid w:val="0045484D"/>
    <w:rsid w:val="00454D9C"/>
    <w:rsid w:val="00455E72"/>
    <w:rsid w:val="0045607A"/>
    <w:rsid w:val="004568EE"/>
    <w:rsid w:val="0045711B"/>
    <w:rsid w:val="00457636"/>
    <w:rsid w:val="00461112"/>
    <w:rsid w:val="00461AAD"/>
    <w:rsid w:val="0046243B"/>
    <w:rsid w:val="004637C2"/>
    <w:rsid w:val="00463BA9"/>
    <w:rsid w:val="00464A5E"/>
    <w:rsid w:val="004659CB"/>
    <w:rsid w:val="00465FD4"/>
    <w:rsid w:val="00466C20"/>
    <w:rsid w:val="00466FE4"/>
    <w:rsid w:val="004676F0"/>
    <w:rsid w:val="0047048B"/>
    <w:rsid w:val="00470F32"/>
    <w:rsid w:val="00471CB5"/>
    <w:rsid w:val="0047218F"/>
    <w:rsid w:val="004737DB"/>
    <w:rsid w:val="00475275"/>
    <w:rsid w:val="00475CF5"/>
    <w:rsid w:val="0047705E"/>
    <w:rsid w:val="0048058F"/>
    <w:rsid w:val="004808A4"/>
    <w:rsid w:val="00481383"/>
    <w:rsid w:val="0048150D"/>
    <w:rsid w:val="00481C98"/>
    <w:rsid w:val="00484066"/>
    <w:rsid w:val="004846AE"/>
    <w:rsid w:val="00484B72"/>
    <w:rsid w:val="004858A3"/>
    <w:rsid w:val="00485CF8"/>
    <w:rsid w:val="00486ACB"/>
    <w:rsid w:val="004875B2"/>
    <w:rsid w:val="0049050D"/>
    <w:rsid w:val="00491017"/>
    <w:rsid w:val="00492810"/>
    <w:rsid w:val="004929F0"/>
    <w:rsid w:val="00493274"/>
    <w:rsid w:val="00493684"/>
    <w:rsid w:val="00495C3C"/>
    <w:rsid w:val="00496CBC"/>
    <w:rsid w:val="0049745C"/>
    <w:rsid w:val="004A172D"/>
    <w:rsid w:val="004A1D03"/>
    <w:rsid w:val="004A253A"/>
    <w:rsid w:val="004A4B6F"/>
    <w:rsid w:val="004B25B6"/>
    <w:rsid w:val="004B2E93"/>
    <w:rsid w:val="004B2FD8"/>
    <w:rsid w:val="004B35C4"/>
    <w:rsid w:val="004B3A53"/>
    <w:rsid w:val="004B3FF7"/>
    <w:rsid w:val="004B7228"/>
    <w:rsid w:val="004B77DC"/>
    <w:rsid w:val="004C0152"/>
    <w:rsid w:val="004C27EE"/>
    <w:rsid w:val="004C34A1"/>
    <w:rsid w:val="004C4F10"/>
    <w:rsid w:val="004C5F2C"/>
    <w:rsid w:val="004D05AA"/>
    <w:rsid w:val="004D2394"/>
    <w:rsid w:val="004D2AE3"/>
    <w:rsid w:val="004D5043"/>
    <w:rsid w:val="004D7EDD"/>
    <w:rsid w:val="004E164E"/>
    <w:rsid w:val="004E2B86"/>
    <w:rsid w:val="004E3A5A"/>
    <w:rsid w:val="004E4060"/>
    <w:rsid w:val="004E4680"/>
    <w:rsid w:val="004E4AE9"/>
    <w:rsid w:val="004E4C37"/>
    <w:rsid w:val="004E4D28"/>
    <w:rsid w:val="004E5370"/>
    <w:rsid w:val="004E5D2A"/>
    <w:rsid w:val="004E6790"/>
    <w:rsid w:val="004E6898"/>
    <w:rsid w:val="004E6899"/>
    <w:rsid w:val="004F0AB4"/>
    <w:rsid w:val="004F1593"/>
    <w:rsid w:val="004F1B93"/>
    <w:rsid w:val="004F1B95"/>
    <w:rsid w:val="004F2B6E"/>
    <w:rsid w:val="004F357D"/>
    <w:rsid w:val="004F37B3"/>
    <w:rsid w:val="004F4626"/>
    <w:rsid w:val="004F4910"/>
    <w:rsid w:val="004F58BD"/>
    <w:rsid w:val="004F6B02"/>
    <w:rsid w:val="004F72BC"/>
    <w:rsid w:val="00501554"/>
    <w:rsid w:val="00502ED9"/>
    <w:rsid w:val="0050468D"/>
    <w:rsid w:val="00505950"/>
    <w:rsid w:val="00505F00"/>
    <w:rsid w:val="005060C1"/>
    <w:rsid w:val="005067AC"/>
    <w:rsid w:val="0050758D"/>
    <w:rsid w:val="00507D4F"/>
    <w:rsid w:val="00507E14"/>
    <w:rsid w:val="0051059B"/>
    <w:rsid w:val="00510C3E"/>
    <w:rsid w:val="005114EF"/>
    <w:rsid w:val="00511B8C"/>
    <w:rsid w:val="005122F0"/>
    <w:rsid w:val="005126C4"/>
    <w:rsid w:val="00512CE0"/>
    <w:rsid w:val="00514440"/>
    <w:rsid w:val="00516E44"/>
    <w:rsid w:val="00517A76"/>
    <w:rsid w:val="00521074"/>
    <w:rsid w:val="005217FF"/>
    <w:rsid w:val="00521BA3"/>
    <w:rsid w:val="00522D26"/>
    <w:rsid w:val="005239BA"/>
    <w:rsid w:val="00523AE7"/>
    <w:rsid w:val="0052439A"/>
    <w:rsid w:val="005244D7"/>
    <w:rsid w:val="005244E5"/>
    <w:rsid w:val="0052576B"/>
    <w:rsid w:val="005257B4"/>
    <w:rsid w:val="00525C62"/>
    <w:rsid w:val="00525D1A"/>
    <w:rsid w:val="00525D75"/>
    <w:rsid w:val="005319F0"/>
    <w:rsid w:val="00533326"/>
    <w:rsid w:val="00534634"/>
    <w:rsid w:val="00534B44"/>
    <w:rsid w:val="0053510D"/>
    <w:rsid w:val="00536E1D"/>
    <w:rsid w:val="005373E0"/>
    <w:rsid w:val="00537705"/>
    <w:rsid w:val="00537C03"/>
    <w:rsid w:val="005403C8"/>
    <w:rsid w:val="00541CFD"/>
    <w:rsid w:val="0054206C"/>
    <w:rsid w:val="00542CB5"/>
    <w:rsid w:val="00544C17"/>
    <w:rsid w:val="005458FD"/>
    <w:rsid w:val="00545AFF"/>
    <w:rsid w:val="00545BD4"/>
    <w:rsid w:val="0054623F"/>
    <w:rsid w:val="00546448"/>
    <w:rsid w:val="00546E7D"/>
    <w:rsid w:val="005473FE"/>
    <w:rsid w:val="0055097C"/>
    <w:rsid w:val="00551654"/>
    <w:rsid w:val="00552700"/>
    <w:rsid w:val="00553270"/>
    <w:rsid w:val="0055475B"/>
    <w:rsid w:val="00554D1E"/>
    <w:rsid w:val="005550E6"/>
    <w:rsid w:val="00555336"/>
    <w:rsid w:val="0055550E"/>
    <w:rsid w:val="0055661A"/>
    <w:rsid w:val="00556A0B"/>
    <w:rsid w:val="005573B5"/>
    <w:rsid w:val="00560B7C"/>
    <w:rsid w:val="005612CC"/>
    <w:rsid w:val="00562335"/>
    <w:rsid w:val="005624FC"/>
    <w:rsid w:val="00563CD3"/>
    <w:rsid w:val="00564271"/>
    <w:rsid w:val="00564B91"/>
    <w:rsid w:val="00565C3A"/>
    <w:rsid w:val="00565F4F"/>
    <w:rsid w:val="00565F72"/>
    <w:rsid w:val="00567E90"/>
    <w:rsid w:val="00567F4C"/>
    <w:rsid w:val="00570BBD"/>
    <w:rsid w:val="00572366"/>
    <w:rsid w:val="0057237B"/>
    <w:rsid w:val="005752DF"/>
    <w:rsid w:val="00577390"/>
    <w:rsid w:val="00580743"/>
    <w:rsid w:val="00580EA9"/>
    <w:rsid w:val="00580EE3"/>
    <w:rsid w:val="00581265"/>
    <w:rsid w:val="005814B2"/>
    <w:rsid w:val="00582156"/>
    <w:rsid w:val="00582826"/>
    <w:rsid w:val="00584A54"/>
    <w:rsid w:val="00585374"/>
    <w:rsid w:val="00593F6D"/>
    <w:rsid w:val="0059585F"/>
    <w:rsid w:val="00596179"/>
    <w:rsid w:val="005971F2"/>
    <w:rsid w:val="00597E2D"/>
    <w:rsid w:val="005A0986"/>
    <w:rsid w:val="005A340D"/>
    <w:rsid w:val="005A4F89"/>
    <w:rsid w:val="005A7300"/>
    <w:rsid w:val="005B0B4A"/>
    <w:rsid w:val="005B3151"/>
    <w:rsid w:val="005B321F"/>
    <w:rsid w:val="005B46ED"/>
    <w:rsid w:val="005B4DF2"/>
    <w:rsid w:val="005B6DD5"/>
    <w:rsid w:val="005C0639"/>
    <w:rsid w:val="005C0F9B"/>
    <w:rsid w:val="005C133D"/>
    <w:rsid w:val="005C2E73"/>
    <w:rsid w:val="005C4A30"/>
    <w:rsid w:val="005C509C"/>
    <w:rsid w:val="005C6708"/>
    <w:rsid w:val="005C6FFA"/>
    <w:rsid w:val="005C79A4"/>
    <w:rsid w:val="005C7BA9"/>
    <w:rsid w:val="005C7D0B"/>
    <w:rsid w:val="005C7DE8"/>
    <w:rsid w:val="005D0904"/>
    <w:rsid w:val="005D1184"/>
    <w:rsid w:val="005D12A0"/>
    <w:rsid w:val="005D12D2"/>
    <w:rsid w:val="005D16E8"/>
    <w:rsid w:val="005D21BE"/>
    <w:rsid w:val="005D4C57"/>
    <w:rsid w:val="005D4E7A"/>
    <w:rsid w:val="005D5DE1"/>
    <w:rsid w:val="005D6FB9"/>
    <w:rsid w:val="005D71CE"/>
    <w:rsid w:val="005D7A9F"/>
    <w:rsid w:val="005D7BBE"/>
    <w:rsid w:val="005D7E2B"/>
    <w:rsid w:val="005E07F1"/>
    <w:rsid w:val="005E0FED"/>
    <w:rsid w:val="005E2825"/>
    <w:rsid w:val="005E3768"/>
    <w:rsid w:val="005E3977"/>
    <w:rsid w:val="005E3CB6"/>
    <w:rsid w:val="005E59CD"/>
    <w:rsid w:val="005E6677"/>
    <w:rsid w:val="005E6EC0"/>
    <w:rsid w:val="005F08FB"/>
    <w:rsid w:val="005F1B56"/>
    <w:rsid w:val="005F2ACB"/>
    <w:rsid w:val="005F525B"/>
    <w:rsid w:val="005F53D0"/>
    <w:rsid w:val="005F6993"/>
    <w:rsid w:val="005F6A67"/>
    <w:rsid w:val="005F6DF2"/>
    <w:rsid w:val="005F7657"/>
    <w:rsid w:val="00600365"/>
    <w:rsid w:val="006005C9"/>
    <w:rsid w:val="00601489"/>
    <w:rsid w:val="00602708"/>
    <w:rsid w:val="00603FFC"/>
    <w:rsid w:val="0060423C"/>
    <w:rsid w:val="00604FCE"/>
    <w:rsid w:val="006057AD"/>
    <w:rsid w:val="00606180"/>
    <w:rsid w:val="00606247"/>
    <w:rsid w:val="00606C45"/>
    <w:rsid w:val="00607D55"/>
    <w:rsid w:val="006100E2"/>
    <w:rsid w:val="006101E0"/>
    <w:rsid w:val="0061082B"/>
    <w:rsid w:val="00610B27"/>
    <w:rsid w:val="00613211"/>
    <w:rsid w:val="00614A89"/>
    <w:rsid w:val="00615655"/>
    <w:rsid w:val="00616718"/>
    <w:rsid w:val="00616AEC"/>
    <w:rsid w:val="006178A4"/>
    <w:rsid w:val="00620872"/>
    <w:rsid w:val="00620FD5"/>
    <w:rsid w:val="006210DC"/>
    <w:rsid w:val="00621577"/>
    <w:rsid w:val="006227D3"/>
    <w:rsid w:val="00623109"/>
    <w:rsid w:val="00623C22"/>
    <w:rsid w:val="00624D82"/>
    <w:rsid w:val="00625CC1"/>
    <w:rsid w:val="00626989"/>
    <w:rsid w:val="00630117"/>
    <w:rsid w:val="0063036E"/>
    <w:rsid w:val="00631A51"/>
    <w:rsid w:val="00631CA9"/>
    <w:rsid w:val="00633D0F"/>
    <w:rsid w:val="0063404C"/>
    <w:rsid w:val="0063711B"/>
    <w:rsid w:val="006373B6"/>
    <w:rsid w:val="0064020C"/>
    <w:rsid w:val="00642264"/>
    <w:rsid w:val="00642921"/>
    <w:rsid w:val="00642FE2"/>
    <w:rsid w:val="0064406A"/>
    <w:rsid w:val="00644D32"/>
    <w:rsid w:val="00646E58"/>
    <w:rsid w:val="00647C26"/>
    <w:rsid w:val="00650234"/>
    <w:rsid w:val="0065156D"/>
    <w:rsid w:val="00653509"/>
    <w:rsid w:val="00654D75"/>
    <w:rsid w:val="00655580"/>
    <w:rsid w:val="0065620C"/>
    <w:rsid w:val="006601A3"/>
    <w:rsid w:val="00660C0A"/>
    <w:rsid w:val="006614C4"/>
    <w:rsid w:val="00662542"/>
    <w:rsid w:val="006629BB"/>
    <w:rsid w:val="00662DF1"/>
    <w:rsid w:val="00664A0E"/>
    <w:rsid w:val="00665D21"/>
    <w:rsid w:val="00666565"/>
    <w:rsid w:val="00666B3B"/>
    <w:rsid w:val="00667846"/>
    <w:rsid w:val="0067010D"/>
    <w:rsid w:val="00671255"/>
    <w:rsid w:val="00671F77"/>
    <w:rsid w:val="006720D1"/>
    <w:rsid w:val="00672627"/>
    <w:rsid w:val="00674173"/>
    <w:rsid w:val="00674396"/>
    <w:rsid w:val="0067458D"/>
    <w:rsid w:val="0067465D"/>
    <w:rsid w:val="00676B7F"/>
    <w:rsid w:val="0068295F"/>
    <w:rsid w:val="00683E08"/>
    <w:rsid w:val="00684378"/>
    <w:rsid w:val="0068744A"/>
    <w:rsid w:val="00687685"/>
    <w:rsid w:val="00687867"/>
    <w:rsid w:val="00690225"/>
    <w:rsid w:val="00691B20"/>
    <w:rsid w:val="00694803"/>
    <w:rsid w:val="00696ABB"/>
    <w:rsid w:val="00696DAE"/>
    <w:rsid w:val="006A036E"/>
    <w:rsid w:val="006A056B"/>
    <w:rsid w:val="006A06B6"/>
    <w:rsid w:val="006A13B3"/>
    <w:rsid w:val="006A1A2A"/>
    <w:rsid w:val="006A1B3B"/>
    <w:rsid w:val="006A436D"/>
    <w:rsid w:val="006A53AB"/>
    <w:rsid w:val="006A6303"/>
    <w:rsid w:val="006B1425"/>
    <w:rsid w:val="006B2504"/>
    <w:rsid w:val="006B395A"/>
    <w:rsid w:val="006B48BA"/>
    <w:rsid w:val="006B4CD0"/>
    <w:rsid w:val="006B5B77"/>
    <w:rsid w:val="006B7625"/>
    <w:rsid w:val="006C0137"/>
    <w:rsid w:val="006C02B7"/>
    <w:rsid w:val="006C0F50"/>
    <w:rsid w:val="006C2820"/>
    <w:rsid w:val="006C3DF9"/>
    <w:rsid w:val="006C6DDD"/>
    <w:rsid w:val="006D0FA7"/>
    <w:rsid w:val="006D16C5"/>
    <w:rsid w:val="006D31E0"/>
    <w:rsid w:val="006D31E4"/>
    <w:rsid w:val="006D38FB"/>
    <w:rsid w:val="006D3A54"/>
    <w:rsid w:val="006D4A8F"/>
    <w:rsid w:val="006D4DAA"/>
    <w:rsid w:val="006D776A"/>
    <w:rsid w:val="006D7AED"/>
    <w:rsid w:val="006E0469"/>
    <w:rsid w:val="006E0982"/>
    <w:rsid w:val="006E131A"/>
    <w:rsid w:val="006E138A"/>
    <w:rsid w:val="006E1674"/>
    <w:rsid w:val="006E1FAB"/>
    <w:rsid w:val="006E21A5"/>
    <w:rsid w:val="006E3153"/>
    <w:rsid w:val="006E491A"/>
    <w:rsid w:val="006E5146"/>
    <w:rsid w:val="006E535B"/>
    <w:rsid w:val="006E59AF"/>
    <w:rsid w:val="006E6312"/>
    <w:rsid w:val="006F0004"/>
    <w:rsid w:val="006F1E5A"/>
    <w:rsid w:val="006F2BCA"/>
    <w:rsid w:val="006F365B"/>
    <w:rsid w:val="006F424B"/>
    <w:rsid w:val="006F50BE"/>
    <w:rsid w:val="006F5DFB"/>
    <w:rsid w:val="006F71FB"/>
    <w:rsid w:val="006F783E"/>
    <w:rsid w:val="00700293"/>
    <w:rsid w:val="00700A2F"/>
    <w:rsid w:val="00701EAF"/>
    <w:rsid w:val="007022CA"/>
    <w:rsid w:val="007039C0"/>
    <w:rsid w:val="00703AAE"/>
    <w:rsid w:val="00704031"/>
    <w:rsid w:val="00704F46"/>
    <w:rsid w:val="007062C7"/>
    <w:rsid w:val="007072CC"/>
    <w:rsid w:val="00707465"/>
    <w:rsid w:val="0070778A"/>
    <w:rsid w:val="007100EF"/>
    <w:rsid w:val="007118D9"/>
    <w:rsid w:val="00713448"/>
    <w:rsid w:val="00713955"/>
    <w:rsid w:val="00713B83"/>
    <w:rsid w:val="00713BD6"/>
    <w:rsid w:val="007146D2"/>
    <w:rsid w:val="00714C18"/>
    <w:rsid w:val="007159C9"/>
    <w:rsid w:val="0071680A"/>
    <w:rsid w:val="00720785"/>
    <w:rsid w:val="00721933"/>
    <w:rsid w:val="00722630"/>
    <w:rsid w:val="007234F9"/>
    <w:rsid w:val="007267DA"/>
    <w:rsid w:val="00727C4B"/>
    <w:rsid w:val="007305C5"/>
    <w:rsid w:val="00730610"/>
    <w:rsid w:val="00731D9C"/>
    <w:rsid w:val="00732439"/>
    <w:rsid w:val="007329A1"/>
    <w:rsid w:val="0073382A"/>
    <w:rsid w:val="00733EA6"/>
    <w:rsid w:val="007372B3"/>
    <w:rsid w:val="00740429"/>
    <w:rsid w:val="00740640"/>
    <w:rsid w:val="0074090B"/>
    <w:rsid w:val="00740EDF"/>
    <w:rsid w:val="007411DF"/>
    <w:rsid w:val="00742E72"/>
    <w:rsid w:val="007452DA"/>
    <w:rsid w:val="007455BA"/>
    <w:rsid w:val="00746E43"/>
    <w:rsid w:val="007478A3"/>
    <w:rsid w:val="00747CB8"/>
    <w:rsid w:val="00747E34"/>
    <w:rsid w:val="007508E3"/>
    <w:rsid w:val="0075172B"/>
    <w:rsid w:val="00752F64"/>
    <w:rsid w:val="00754187"/>
    <w:rsid w:val="0075586C"/>
    <w:rsid w:val="00755DEC"/>
    <w:rsid w:val="0075762B"/>
    <w:rsid w:val="007576DE"/>
    <w:rsid w:val="0075779D"/>
    <w:rsid w:val="007579A7"/>
    <w:rsid w:val="007601F1"/>
    <w:rsid w:val="00760860"/>
    <w:rsid w:val="007618B2"/>
    <w:rsid w:val="0076192A"/>
    <w:rsid w:val="00762390"/>
    <w:rsid w:val="0076385E"/>
    <w:rsid w:val="00764251"/>
    <w:rsid w:val="00764612"/>
    <w:rsid w:val="00765ED1"/>
    <w:rsid w:val="00766991"/>
    <w:rsid w:val="007705CD"/>
    <w:rsid w:val="00771C98"/>
    <w:rsid w:val="00772938"/>
    <w:rsid w:val="007730F6"/>
    <w:rsid w:val="00773A17"/>
    <w:rsid w:val="007764EC"/>
    <w:rsid w:val="00776965"/>
    <w:rsid w:val="007770A7"/>
    <w:rsid w:val="00777D68"/>
    <w:rsid w:val="00781B7C"/>
    <w:rsid w:val="00781B94"/>
    <w:rsid w:val="00782B2C"/>
    <w:rsid w:val="00783D09"/>
    <w:rsid w:val="00783E6D"/>
    <w:rsid w:val="00785282"/>
    <w:rsid w:val="00785414"/>
    <w:rsid w:val="00785A0B"/>
    <w:rsid w:val="00785BD5"/>
    <w:rsid w:val="00787481"/>
    <w:rsid w:val="00787613"/>
    <w:rsid w:val="00790146"/>
    <w:rsid w:val="00790E7B"/>
    <w:rsid w:val="00790FE3"/>
    <w:rsid w:val="00792628"/>
    <w:rsid w:val="0079412A"/>
    <w:rsid w:val="0079480D"/>
    <w:rsid w:val="007968AF"/>
    <w:rsid w:val="007975B5"/>
    <w:rsid w:val="007978DA"/>
    <w:rsid w:val="00797E16"/>
    <w:rsid w:val="007A004B"/>
    <w:rsid w:val="007A0CC6"/>
    <w:rsid w:val="007A196C"/>
    <w:rsid w:val="007A60F6"/>
    <w:rsid w:val="007A70BB"/>
    <w:rsid w:val="007A7549"/>
    <w:rsid w:val="007B0970"/>
    <w:rsid w:val="007B0C3C"/>
    <w:rsid w:val="007B18A5"/>
    <w:rsid w:val="007B2F5B"/>
    <w:rsid w:val="007B41A1"/>
    <w:rsid w:val="007B4C07"/>
    <w:rsid w:val="007B68FD"/>
    <w:rsid w:val="007C3BC5"/>
    <w:rsid w:val="007C45CB"/>
    <w:rsid w:val="007C4E3F"/>
    <w:rsid w:val="007C571C"/>
    <w:rsid w:val="007C5DE3"/>
    <w:rsid w:val="007C7957"/>
    <w:rsid w:val="007D1753"/>
    <w:rsid w:val="007D2503"/>
    <w:rsid w:val="007D3187"/>
    <w:rsid w:val="007D39C7"/>
    <w:rsid w:val="007D3C43"/>
    <w:rsid w:val="007D43CB"/>
    <w:rsid w:val="007D4B43"/>
    <w:rsid w:val="007D5901"/>
    <w:rsid w:val="007D5CB1"/>
    <w:rsid w:val="007D7CBE"/>
    <w:rsid w:val="007E053F"/>
    <w:rsid w:val="007E1E0C"/>
    <w:rsid w:val="007E323A"/>
    <w:rsid w:val="007E4658"/>
    <w:rsid w:val="007E485A"/>
    <w:rsid w:val="007E53F2"/>
    <w:rsid w:val="007E5F76"/>
    <w:rsid w:val="007F0C85"/>
    <w:rsid w:val="007F1D6B"/>
    <w:rsid w:val="007F1E63"/>
    <w:rsid w:val="007F2CD6"/>
    <w:rsid w:val="007F3BBD"/>
    <w:rsid w:val="007F3E03"/>
    <w:rsid w:val="007F423F"/>
    <w:rsid w:val="007F5238"/>
    <w:rsid w:val="007F7DF1"/>
    <w:rsid w:val="008003E4"/>
    <w:rsid w:val="00800BBB"/>
    <w:rsid w:val="0080248A"/>
    <w:rsid w:val="008025B4"/>
    <w:rsid w:val="008029AE"/>
    <w:rsid w:val="008031D3"/>
    <w:rsid w:val="008047D6"/>
    <w:rsid w:val="008050F4"/>
    <w:rsid w:val="0080588D"/>
    <w:rsid w:val="00810577"/>
    <w:rsid w:val="00812048"/>
    <w:rsid w:val="00812830"/>
    <w:rsid w:val="00812A98"/>
    <w:rsid w:val="00812AC9"/>
    <w:rsid w:val="00812FCE"/>
    <w:rsid w:val="00813C79"/>
    <w:rsid w:val="00814DD1"/>
    <w:rsid w:val="008155FB"/>
    <w:rsid w:val="00816F04"/>
    <w:rsid w:val="008171A9"/>
    <w:rsid w:val="00820BAE"/>
    <w:rsid w:val="00822621"/>
    <w:rsid w:val="00822973"/>
    <w:rsid w:val="00823FD2"/>
    <w:rsid w:val="008246D6"/>
    <w:rsid w:val="00824B3E"/>
    <w:rsid w:val="00825C0A"/>
    <w:rsid w:val="00830DFB"/>
    <w:rsid w:val="00830E97"/>
    <w:rsid w:val="00831BBA"/>
    <w:rsid w:val="00833060"/>
    <w:rsid w:val="00835FB2"/>
    <w:rsid w:val="00836F72"/>
    <w:rsid w:val="00837503"/>
    <w:rsid w:val="00841CD9"/>
    <w:rsid w:val="00843901"/>
    <w:rsid w:val="0084548B"/>
    <w:rsid w:val="00845494"/>
    <w:rsid w:val="0084578B"/>
    <w:rsid w:val="00845C1A"/>
    <w:rsid w:val="00846E8E"/>
    <w:rsid w:val="0084700E"/>
    <w:rsid w:val="00850A0A"/>
    <w:rsid w:val="00850F72"/>
    <w:rsid w:val="00850F75"/>
    <w:rsid w:val="008512F9"/>
    <w:rsid w:val="0085377C"/>
    <w:rsid w:val="00853848"/>
    <w:rsid w:val="0085391D"/>
    <w:rsid w:val="00853A35"/>
    <w:rsid w:val="00853E02"/>
    <w:rsid w:val="00854111"/>
    <w:rsid w:val="00854202"/>
    <w:rsid w:val="00857B79"/>
    <w:rsid w:val="00860F8E"/>
    <w:rsid w:val="00861D95"/>
    <w:rsid w:val="00861FF7"/>
    <w:rsid w:val="008620ED"/>
    <w:rsid w:val="00862542"/>
    <w:rsid w:val="00862B39"/>
    <w:rsid w:val="00863396"/>
    <w:rsid w:val="00864014"/>
    <w:rsid w:val="00864164"/>
    <w:rsid w:val="0086436A"/>
    <w:rsid w:val="008660A4"/>
    <w:rsid w:val="008667E5"/>
    <w:rsid w:val="00866B9F"/>
    <w:rsid w:val="008673E1"/>
    <w:rsid w:val="00867866"/>
    <w:rsid w:val="0087094C"/>
    <w:rsid w:val="00870EA7"/>
    <w:rsid w:val="0087126C"/>
    <w:rsid w:val="0087360B"/>
    <w:rsid w:val="0087378A"/>
    <w:rsid w:val="00873F5E"/>
    <w:rsid w:val="00875111"/>
    <w:rsid w:val="008755E5"/>
    <w:rsid w:val="00875A3F"/>
    <w:rsid w:val="0087686F"/>
    <w:rsid w:val="00877266"/>
    <w:rsid w:val="00880534"/>
    <w:rsid w:val="0088115F"/>
    <w:rsid w:val="00881DD5"/>
    <w:rsid w:val="00881E13"/>
    <w:rsid w:val="00882795"/>
    <w:rsid w:val="00882D35"/>
    <w:rsid w:val="0088333C"/>
    <w:rsid w:val="0088355A"/>
    <w:rsid w:val="008848BA"/>
    <w:rsid w:val="00885165"/>
    <w:rsid w:val="00885CEC"/>
    <w:rsid w:val="00886D63"/>
    <w:rsid w:val="00890A2B"/>
    <w:rsid w:val="00890EBB"/>
    <w:rsid w:val="0089177F"/>
    <w:rsid w:val="00891E79"/>
    <w:rsid w:val="00892D4E"/>
    <w:rsid w:val="00894D1F"/>
    <w:rsid w:val="00895746"/>
    <w:rsid w:val="008958D6"/>
    <w:rsid w:val="00897FEA"/>
    <w:rsid w:val="008A17F8"/>
    <w:rsid w:val="008A32AB"/>
    <w:rsid w:val="008A32FE"/>
    <w:rsid w:val="008A3B4F"/>
    <w:rsid w:val="008A4510"/>
    <w:rsid w:val="008A506A"/>
    <w:rsid w:val="008A5109"/>
    <w:rsid w:val="008A5B09"/>
    <w:rsid w:val="008A6361"/>
    <w:rsid w:val="008A7487"/>
    <w:rsid w:val="008A789A"/>
    <w:rsid w:val="008A7B5D"/>
    <w:rsid w:val="008B0290"/>
    <w:rsid w:val="008B4B71"/>
    <w:rsid w:val="008B7025"/>
    <w:rsid w:val="008C022D"/>
    <w:rsid w:val="008C10D4"/>
    <w:rsid w:val="008C13BE"/>
    <w:rsid w:val="008C17E0"/>
    <w:rsid w:val="008C4077"/>
    <w:rsid w:val="008C56FC"/>
    <w:rsid w:val="008C7E6D"/>
    <w:rsid w:val="008D0182"/>
    <w:rsid w:val="008D2D48"/>
    <w:rsid w:val="008D2FFB"/>
    <w:rsid w:val="008D3CF5"/>
    <w:rsid w:val="008D50F4"/>
    <w:rsid w:val="008D520C"/>
    <w:rsid w:val="008D5EB1"/>
    <w:rsid w:val="008D6E43"/>
    <w:rsid w:val="008E13F2"/>
    <w:rsid w:val="008E278A"/>
    <w:rsid w:val="008E2C62"/>
    <w:rsid w:val="008E33D2"/>
    <w:rsid w:val="008E4623"/>
    <w:rsid w:val="008E594E"/>
    <w:rsid w:val="008E637E"/>
    <w:rsid w:val="008F182A"/>
    <w:rsid w:val="008F1904"/>
    <w:rsid w:val="008F1BEB"/>
    <w:rsid w:val="008F1FED"/>
    <w:rsid w:val="008F2C56"/>
    <w:rsid w:val="008F3BC5"/>
    <w:rsid w:val="008F4F6B"/>
    <w:rsid w:val="008F565A"/>
    <w:rsid w:val="008F589A"/>
    <w:rsid w:val="008F6101"/>
    <w:rsid w:val="008F659C"/>
    <w:rsid w:val="008F73E2"/>
    <w:rsid w:val="00900084"/>
    <w:rsid w:val="009001B6"/>
    <w:rsid w:val="00900794"/>
    <w:rsid w:val="0090127D"/>
    <w:rsid w:val="00901884"/>
    <w:rsid w:val="0090208E"/>
    <w:rsid w:val="00904A42"/>
    <w:rsid w:val="009068DA"/>
    <w:rsid w:val="00907083"/>
    <w:rsid w:val="0091011A"/>
    <w:rsid w:val="00910E7E"/>
    <w:rsid w:val="00911F02"/>
    <w:rsid w:val="00912AC0"/>
    <w:rsid w:val="0091581F"/>
    <w:rsid w:val="00915888"/>
    <w:rsid w:val="00916032"/>
    <w:rsid w:val="00916FD7"/>
    <w:rsid w:val="009205D5"/>
    <w:rsid w:val="00920D7A"/>
    <w:rsid w:val="009220D4"/>
    <w:rsid w:val="00922421"/>
    <w:rsid w:val="00923CD8"/>
    <w:rsid w:val="00926A08"/>
    <w:rsid w:val="009274AB"/>
    <w:rsid w:val="009277F8"/>
    <w:rsid w:val="00930DF1"/>
    <w:rsid w:val="00931100"/>
    <w:rsid w:val="00932409"/>
    <w:rsid w:val="00933606"/>
    <w:rsid w:val="009336BF"/>
    <w:rsid w:val="009339FE"/>
    <w:rsid w:val="00934C2A"/>
    <w:rsid w:val="009368FA"/>
    <w:rsid w:val="00937351"/>
    <w:rsid w:val="0093773C"/>
    <w:rsid w:val="00941336"/>
    <w:rsid w:val="00941887"/>
    <w:rsid w:val="0094334A"/>
    <w:rsid w:val="009439CC"/>
    <w:rsid w:val="009439E7"/>
    <w:rsid w:val="009443C8"/>
    <w:rsid w:val="009453BB"/>
    <w:rsid w:val="00945C65"/>
    <w:rsid w:val="00946397"/>
    <w:rsid w:val="009465A1"/>
    <w:rsid w:val="00947542"/>
    <w:rsid w:val="009477DD"/>
    <w:rsid w:val="00947E61"/>
    <w:rsid w:val="009501EB"/>
    <w:rsid w:val="00950C5E"/>
    <w:rsid w:val="0095202A"/>
    <w:rsid w:val="00953BF8"/>
    <w:rsid w:val="009560B2"/>
    <w:rsid w:val="00957103"/>
    <w:rsid w:val="00957143"/>
    <w:rsid w:val="009607FC"/>
    <w:rsid w:val="00963767"/>
    <w:rsid w:val="0096424B"/>
    <w:rsid w:val="00964D6A"/>
    <w:rsid w:val="00965493"/>
    <w:rsid w:val="009655D1"/>
    <w:rsid w:val="00965A7E"/>
    <w:rsid w:val="00967AFA"/>
    <w:rsid w:val="00967F75"/>
    <w:rsid w:val="0097008B"/>
    <w:rsid w:val="00972863"/>
    <w:rsid w:val="00973ABF"/>
    <w:rsid w:val="00974D34"/>
    <w:rsid w:val="00974E65"/>
    <w:rsid w:val="00975859"/>
    <w:rsid w:val="00975E13"/>
    <w:rsid w:val="009765E0"/>
    <w:rsid w:val="00976A97"/>
    <w:rsid w:val="009775E8"/>
    <w:rsid w:val="0097797A"/>
    <w:rsid w:val="0098107A"/>
    <w:rsid w:val="0098269C"/>
    <w:rsid w:val="00982E31"/>
    <w:rsid w:val="0098320D"/>
    <w:rsid w:val="00983531"/>
    <w:rsid w:val="00984E19"/>
    <w:rsid w:val="00985C2D"/>
    <w:rsid w:val="00985C8E"/>
    <w:rsid w:val="00986BF5"/>
    <w:rsid w:val="00987C52"/>
    <w:rsid w:val="0099069A"/>
    <w:rsid w:val="00990AEA"/>
    <w:rsid w:val="00990B42"/>
    <w:rsid w:val="009910BE"/>
    <w:rsid w:val="00993A0B"/>
    <w:rsid w:val="0099472A"/>
    <w:rsid w:val="00994FFE"/>
    <w:rsid w:val="00995C04"/>
    <w:rsid w:val="00995CA3"/>
    <w:rsid w:val="00997275"/>
    <w:rsid w:val="009979A3"/>
    <w:rsid w:val="00997AA1"/>
    <w:rsid w:val="009A0AE9"/>
    <w:rsid w:val="009A20FA"/>
    <w:rsid w:val="009A26F1"/>
    <w:rsid w:val="009A2DC4"/>
    <w:rsid w:val="009A3569"/>
    <w:rsid w:val="009A49C6"/>
    <w:rsid w:val="009A4FB7"/>
    <w:rsid w:val="009A5FAA"/>
    <w:rsid w:val="009A6117"/>
    <w:rsid w:val="009A683A"/>
    <w:rsid w:val="009A6A12"/>
    <w:rsid w:val="009A6E35"/>
    <w:rsid w:val="009A7968"/>
    <w:rsid w:val="009A7B1C"/>
    <w:rsid w:val="009B0F30"/>
    <w:rsid w:val="009B558C"/>
    <w:rsid w:val="009B655A"/>
    <w:rsid w:val="009B6A6E"/>
    <w:rsid w:val="009B79F5"/>
    <w:rsid w:val="009C0124"/>
    <w:rsid w:val="009C0AA0"/>
    <w:rsid w:val="009C0D92"/>
    <w:rsid w:val="009C2B23"/>
    <w:rsid w:val="009C2F7C"/>
    <w:rsid w:val="009C39B6"/>
    <w:rsid w:val="009C49AA"/>
    <w:rsid w:val="009C4D24"/>
    <w:rsid w:val="009C4EC1"/>
    <w:rsid w:val="009C5C69"/>
    <w:rsid w:val="009C623D"/>
    <w:rsid w:val="009C6EEC"/>
    <w:rsid w:val="009C78DD"/>
    <w:rsid w:val="009D1AFC"/>
    <w:rsid w:val="009D3771"/>
    <w:rsid w:val="009D39BB"/>
    <w:rsid w:val="009D3FD5"/>
    <w:rsid w:val="009D43F7"/>
    <w:rsid w:val="009D6A56"/>
    <w:rsid w:val="009D6B55"/>
    <w:rsid w:val="009E116E"/>
    <w:rsid w:val="009E1E12"/>
    <w:rsid w:val="009E2F74"/>
    <w:rsid w:val="009E3495"/>
    <w:rsid w:val="009E3A91"/>
    <w:rsid w:val="009E3DDB"/>
    <w:rsid w:val="009E4037"/>
    <w:rsid w:val="009E4188"/>
    <w:rsid w:val="009E6C65"/>
    <w:rsid w:val="009F0808"/>
    <w:rsid w:val="009F2D6F"/>
    <w:rsid w:val="009F358F"/>
    <w:rsid w:val="009F3A07"/>
    <w:rsid w:val="009F3D23"/>
    <w:rsid w:val="009F3EF9"/>
    <w:rsid w:val="009F65A0"/>
    <w:rsid w:val="009F6605"/>
    <w:rsid w:val="009F7550"/>
    <w:rsid w:val="00A00660"/>
    <w:rsid w:val="00A00BC8"/>
    <w:rsid w:val="00A01915"/>
    <w:rsid w:val="00A04796"/>
    <w:rsid w:val="00A047C9"/>
    <w:rsid w:val="00A04E9A"/>
    <w:rsid w:val="00A04F4E"/>
    <w:rsid w:val="00A079E7"/>
    <w:rsid w:val="00A10C61"/>
    <w:rsid w:val="00A11BF9"/>
    <w:rsid w:val="00A1341E"/>
    <w:rsid w:val="00A13628"/>
    <w:rsid w:val="00A13A8F"/>
    <w:rsid w:val="00A1445F"/>
    <w:rsid w:val="00A147A7"/>
    <w:rsid w:val="00A16EFD"/>
    <w:rsid w:val="00A17311"/>
    <w:rsid w:val="00A20439"/>
    <w:rsid w:val="00A205BB"/>
    <w:rsid w:val="00A2075F"/>
    <w:rsid w:val="00A20B93"/>
    <w:rsid w:val="00A21EB1"/>
    <w:rsid w:val="00A22911"/>
    <w:rsid w:val="00A22DCD"/>
    <w:rsid w:val="00A22E00"/>
    <w:rsid w:val="00A2333D"/>
    <w:rsid w:val="00A23EA7"/>
    <w:rsid w:val="00A26736"/>
    <w:rsid w:val="00A2678B"/>
    <w:rsid w:val="00A27BA4"/>
    <w:rsid w:val="00A27D97"/>
    <w:rsid w:val="00A30212"/>
    <w:rsid w:val="00A30BC4"/>
    <w:rsid w:val="00A342C5"/>
    <w:rsid w:val="00A352E9"/>
    <w:rsid w:val="00A41005"/>
    <w:rsid w:val="00A411DF"/>
    <w:rsid w:val="00A415CD"/>
    <w:rsid w:val="00A41C09"/>
    <w:rsid w:val="00A426E2"/>
    <w:rsid w:val="00A45199"/>
    <w:rsid w:val="00A504DE"/>
    <w:rsid w:val="00A508E8"/>
    <w:rsid w:val="00A5141F"/>
    <w:rsid w:val="00A52C8C"/>
    <w:rsid w:val="00A532AF"/>
    <w:rsid w:val="00A54EB1"/>
    <w:rsid w:val="00A56037"/>
    <w:rsid w:val="00A565FE"/>
    <w:rsid w:val="00A570B0"/>
    <w:rsid w:val="00A57B06"/>
    <w:rsid w:val="00A600A3"/>
    <w:rsid w:val="00A6119D"/>
    <w:rsid w:val="00A6155D"/>
    <w:rsid w:val="00A61E3F"/>
    <w:rsid w:val="00A62705"/>
    <w:rsid w:val="00A659AC"/>
    <w:rsid w:val="00A65B34"/>
    <w:rsid w:val="00A65F7C"/>
    <w:rsid w:val="00A669A2"/>
    <w:rsid w:val="00A66BB9"/>
    <w:rsid w:val="00A66C03"/>
    <w:rsid w:val="00A6756F"/>
    <w:rsid w:val="00A707DB"/>
    <w:rsid w:val="00A74FC6"/>
    <w:rsid w:val="00A75798"/>
    <w:rsid w:val="00A76057"/>
    <w:rsid w:val="00A7675E"/>
    <w:rsid w:val="00A77069"/>
    <w:rsid w:val="00A8020D"/>
    <w:rsid w:val="00A80DF6"/>
    <w:rsid w:val="00A82997"/>
    <w:rsid w:val="00A830D4"/>
    <w:rsid w:val="00A83DCD"/>
    <w:rsid w:val="00A845BB"/>
    <w:rsid w:val="00A8490B"/>
    <w:rsid w:val="00A84920"/>
    <w:rsid w:val="00A8763E"/>
    <w:rsid w:val="00A87A4F"/>
    <w:rsid w:val="00A903E5"/>
    <w:rsid w:val="00A90520"/>
    <w:rsid w:val="00A90B08"/>
    <w:rsid w:val="00A92EA4"/>
    <w:rsid w:val="00A93C2C"/>
    <w:rsid w:val="00A93EB3"/>
    <w:rsid w:val="00A944C8"/>
    <w:rsid w:val="00A96678"/>
    <w:rsid w:val="00A973BD"/>
    <w:rsid w:val="00A97C86"/>
    <w:rsid w:val="00AA0D62"/>
    <w:rsid w:val="00AA0E0F"/>
    <w:rsid w:val="00AA12EF"/>
    <w:rsid w:val="00AA1C22"/>
    <w:rsid w:val="00AA2202"/>
    <w:rsid w:val="00AA249D"/>
    <w:rsid w:val="00AA28DF"/>
    <w:rsid w:val="00AA2946"/>
    <w:rsid w:val="00AA2B54"/>
    <w:rsid w:val="00AA2DC2"/>
    <w:rsid w:val="00AA425F"/>
    <w:rsid w:val="00AA59C7"/>
    <w:rsid w:val="00AA73E0"/>
    <w:rsid w:val="00AB052E"/>
    <w:rsid w:val="00AB0683"/>
    <w:rsid w:val="00AB2400"/>
    <w:rsid w:val="00AB3117"/>
    <w:rsid w:val="00AB43CF"/>
    <w:rsid w:val="00AB5099"/>
    <w:rsid w:val="00AB70A3"/>
    <w:rsid w:val="00AB71BB"/>
    <w:rsid w:val="00AC1364"/>
    <w:rsid w:val="00AC1B5D"/>
    <w:rsid w:val="00AC2090"/>
    <w:rsid w:val="00AC3194"/>
    <w:rsid w:val="00AC467E"/>
    <w:rsid w:val="00AC4D26"/>
    <w:rsid w:val="00AC5312"/>
    <w:rsid w:val="00AC55AB"/>
    <w:rsid w:val="00AC5770"/>
    <w:rsid w:val="00AC6D40"/>
    <w:rsid w:val="00AC6E0C"/>
    <w:rsid w:val="00AC767F"/>
    <w:rsid w:val="00AC79A8"/>
    <w:rsid w:val="00AD00CD"/>
    <w:rsid w:val="00AD080F"/>
    <w:rsid w:val="00AD0CCC"/>
    <w:rsid w:val="00AD29FE"/>
    <w:rsid w:val="00AD3905"/>
    <w:rsid w:val="00AD3DED"/>
    <w:rsid w:val="00AD5124"/>
    <w:rsid w:val="00AD563E"/>
    <w:rsid w:val="00AD79F4"/>
    <w:rsid w:val="00AD7B51"/>
    <w:rsid w:val="00AD7DD1"/>
    <w:rsid w:val="00AE0FCB"/>
    <w:rsid w:val="00AE1100"/>
    <w:rsid w:val="00AE1778"/>
    <w:rsid w:val="00AE1BEE"/>
    <w:rsid w:val="00AE3A70"/>
    <w:rsid w:val="00AE3BB1"/>
    <w:rsid w:val="00AE3E94"/>
    <w:rsid w:val="00AE4116"/>
    <w:rsid w:val="00AE44AE"/>
    <w:rsid w:val="00AE4D70"/>
    <w:rsid w:val="00AE5346"/>
    <w:rsid w:val="00AE686C"/>
    <w:rsid w:val="00AE6C68"/>
    <w:rsid w:val="00AE7E20"/>
    <w:rsid w:val="00AF12DA"/>
    <w:rsid w:val="00AF1508"/>
    <w:rsid w:val="00AF19F9"/>
    <w:rsid w:val="00AF1F95"/>
    <w:rsid w:val="00AF201C"/>
    <w:rsid w:val="00AF36EC"/>
    <w:rsid w:val="00AF4477"/>
    <w:rsid w:val="00AF4AC0"/>
    <w:rsid w:val="00AF7410"/>
    <w:rsid w:val="00AF763F"/>
    <w:rsid w:val="00AF7E9F"/>
    <w:rsid w:val="00B020EB"/>
    <w:rsid w:val="00B04DD6"/>
    <w:rsid w:val="00B05FF7"/>
    <w:rsid w:val="00B066DE"/>
    <w:rsid w:val="00B10C6B"/>
    <w:rsid w:val="00B11BCD"/>
    <w:rsid w:val="00B12324"/>
    <w:rsid w:val="00B12BFD"/>
    <w:rsid w:val="00B13E2C"/>
    <w:rsid w:val="00B13F67"/>
    <w:rsid w:val="00B1415F"/>
    <w:rsid w:val="00B15A12"/>
    <w:rsid w:val="00B15BFB"/>
    <w:rsid w:val="00B15D8A"/>
    <w:rsid w:val="00B2030B"/>
    <w:rsid w:val="00B20A65"/>
    <w:rsid w:val="00B20CA8"/>
    <w:rsid w:val="00B21D10"/>
    <w:rsid w:val="00B21D4A"/>
    <w:rsid w:val="00B24220"/>
    <w:rsid w:val="00B253EE"/>
    <w:rsid w:val="00B256C3"/>
    <w:rsid w:val="00B273C6"/>
    <w:rsid w:val="00B274FB"/>
    <w:rsid w:val="00B311D6"/>
    <w:rsid w:val="00B31A3B"/>
    <w:rsid w:val="00B31B02"/>
    <w:rsid w:val="00B31C0C"/>
    <w:rsid w:val="00B31EBB"/>
    <w:rsid w:val="00B32E2B"/>
    <w:rsid w:val="00B338DD"/>
    <w:rsid w:val="00B33952"/>
    <w:rsid w:val="00B33A52"/>
    <w:rsid w:val="00B34883"/>
    <w:rsid w:val="00B37F22"/>
    <w:rsid w:val="00B4055C"/>
    <w:rsid w:val="00B40DFE"/>
    <w:rsid w:val="00B40F9D"/>
    <w:rsid w:val="00B42167"/>
    <w:rsid w:val="00B4229C"/>
    <w:rsid w:val="00B42623"/>
    <w:rsid w:val="00B44966"/>
    <w:rsid w:val="00B44B0C"/>
    <w:rsid w:val="00B45D00"/>
    <w:rsid w:val="00B46524"/>
    <w:rsid w:val="00B46849"/>
    <w:rsid w:val="00B4702B"/>
    <w:rsid w:val="00B5092E"/>
    <w:rsid w:val="00B50D1A"/>
    <w:rsid w:val="00B50D91"/>
    <w:rsid w:val="00B51BEB"/>
    <w:rsid w:val="00B52C93"/>
    <w:rsid w:val="00B5336F"/>
    <w:rsid w:val="00B53611"/>
    <w:rsid w:val="00B537FB"/>
    <w:rsid w:val="00B53D1E"/>
    <w:rsid w:val="00B54005"/>
    <w:rsid w:val="00B5637F"/>
    <w:rsid w:val="00B5718A"/>
    <w:rsid w:val="00B601DE"/>
    <w:rsid w:val="00B607A1"/>
    <w:rsid w:val="00B60BBD"/>
    <w:rsid w:val="00B61071"/>
    <w:rsid w:val="00B6155F"/>
    <w:rsid w:val="00B6183E"/>
    <w:rsid w:val="00B62BDF"/>
    <w:rsid w:val="00B62E5D"/>
    <w:rsid w:val="00B6337A"/>
    <w:rsid w:val="00B64C1A"/>
    <w:rsid w:val="00B64CB6"/>
    <w:rsid w:val="00B660B9"/>
    <w:rsid w:val="00B660DF"/>
    <w:rsid w:val="00B66792"/>
    <w:rsid w:val="00B710FD"/>
    <w:rsid w:val="00B71152"/>
    <w:rsid w:val="00B72ADB"/>
    <w:rsid w:val="00B72C53"/>
    <w:rsid w:val="00B733BE"/>
    <w:rsid w:val="00B73ECF"/>
    <w:rsid w:val="00B744EF"/>
    <w:rsid w:val="00B764A4"/>
    <w:rsid w:val="00B77346"/>
    <w:rsid w:val="00B80ACE"/>
    <w:rsid w:val="00B80BD0"/>
    <w:rsid w:val="00B81418"/>
    <w:rsid w:val="00B816E2"/>
    <w:rsid w:val="00B827A1"/>
    <w:rsid w:val="00B82F04"/>
    <w:rsid w:val="00B837FF"/>
    <w:rsid w:val="00B83C42"/>
    <w:rsid w:val="00B83EB3"/>
    <w:rsid w:val="00B84CCB"/>
    <w:rsid w:val="00B84E3F"/>
    <w:rsid w:val="00B84E72"/>
    <w:rsid w:val="00B855C8"/>
    <w:rsid w:val="00B85C6D"/>
    <w:rsid w:val="00B86B22"/>
    <w:rsid w:val="00B8700A"/>
    <w:rsid w:val="00B87F08"/>
    <w:rsid w:val="00B909F1"/>
    <w:rsid w:val="00B91278"/>
    <w:rsid w:val="00B9213D"/>
    <w:rsid w:val="00B92AC2"/>
    <w:rsid w:val="00B94622"/>
    <w:rsid w:val="00B94DAB"/>
    <w:rsid w:val="00B97939"/>
    <w:rsid w:val="00B97AB8"/>
    <w:rsid w:val="00BA0187"/>
    <w:rsid w:val="00BA0255"/>
    <w:rsid w:val="00BA086E"/>
    <w:rsid w:val="00BA1763"/>
    <w:rsid w:val="00BA1B73"/>
    <w:rsid w:val="00BA2E48"/>
    <w:rsid w:val="00BA4D90"/>
    <w:rsid w:val="00BA78FE"/>
    <w:rsid w:val="00BA7A0D"/>
    <w:rsid w:val="00BA7FF3"/>
    <w:rsid w:val="00BB1CEB"/>
    <w:rsid w:val="00BB494D"/>
    <w:rsid w:val="00BB600A"/>
    <w:rsid w:val="00BB7423"/>
    <w:rsid w:val="00BB7BA1"/>
    <w:rsid w:val="00BC03A1"/>
    <w:rsid w:val="00BC0ACA"/>
    <w:rsid w:val="00BC122D"/>
    <w:rsid w:val="00BC15F0"/>
    <w:rsid w:val="00BC1C71"/>
    <w:rsid w:val="00BC2442"/>
    <w:rsid w:val="00BC2476"/>
    <w:rsid w:val="00BC265F"/>
    <w:rsid w:val="00BC43EA"/>
    <w:rsid w:val="00BC4647"/>
    <w:rsid w:val="00BC48F5"/>
    <w:rsid w:val="00BD0B06"/>
    <w:rsid w:val="00BD39D6"/>
    <w:rsid w:val="00BD3DBE"/>
    <w:rsid w:val="00BD4191"/>
    <w:rsid w:val="00BD4F66"/>
    <w:rsid w:val="00BD5B73"/>
    <w:rsid w:val="00BE1270"/>
    <w:rsid w:val="00BE196A"/>
    <w:rsid w:val="00BE21FB"/>
    <w:rsid w:val="00BE42D1"/>
    <w:rsid w:val="00BE4424"/>
    <w:rsid w:val="00BE4647"/>
    <w:rsid w:val="00BE5552"/>
    <w:rsid w:val="00BE5FC9"/>
    <w:rsid w:val="00BE62D5"/>
    <w:rsid w:val="00BF0526"/>
    <w:rsid w:val="00BF0783"/>
    <w:rsid w:val="00BF09C0"/>
    <w:rsid w:val="00BF1A00"/>
    <w:rsid w:val="00BF2B8C"/>
    <w:rsid w:val="00BF3A2C"/>
    <w:rsid w:val="00BF3B88"/>
    <w:rsid w:val="00BF4030"/>
    <w:rsid w:val="00BF4C3D"/>
    <w:rsid w:val="00BF4F49"/>
    <w:rsid w:val="00BF6C50"/>
    <w:rsid w:val="00BF6DFE"/>
    <w:rsid w:val="00BF75DF"/>
    <w:rsid w:val="00BF799C"/>
    <w:rsid w:val="00C00E42"/>
    <w:rsid w:val="00C01008"/>
    <w:rsid w:val="00C02760"/>
    <w:rsid w:val="00C02A5D"/>
    <w:rsid w:val="00C04868"/>
    <w:rsid w:val="00C04B96"/>
    <w:rsid w:val="00C04D37"/>
    <w:rsid w:val="00C04E78"/>
    <w:rsid w:val="00C0525F"/>
    <w:rsid w:val="00C0779D"/>
    <w:rsid w:val="00C1156F"/>
    <w:rsid w:val="00C122AA"/>
    <w:rsid w:val="00C13533"/>
    <w:rsid w:val="00C13577"/>
    <w:rsid w:val="00C15DC3"/>
    <w:rsid w:val="00C16347"/>
    <w:rsid w:val="00C17125"/>
    <w:rsid w:val="00C17241"/>
    <w:rsid w:val="00C172B7"/>
    <w:rsid w:val="00C17A26"/>
    <w:rsid w:val="00C17CD8"/>
    <w:rsid w:val="00C17D0A"/>
    <w:rsid w:val="00C201EB"/>
    <w:rsid w:val="00C20657"/>
    <w:rsid w:val="00C21485"/>
    <w:rsid w:val="00C2255A"/>
    <w:rsid w:val="00C2264D"/>
    <w:rsid w:val="00C23815"/>
    <w:rsid w:val="00C24057"/>
    <w:rsid w:val="00C241A6"/>
    <w:rsid w:val="00C25968"/>
    <w:rsid w:val="00C259E7"/>
    <w:rsid w:val="00C2722E"/>
    <w:rsid w:val="00C303A4"/>
    <w:rsid w:val="00C32453"/>
    <w:rsid w:val="00C324AF"/>
    <w:rsid w:val="00C33195"/>
    <w:rsid w:val="00C3478C"/>
    <w:rsid w:val="00C34E93"/>
    <w:rsid w:val="00C358AF"/>
    <w:rsid w:val="00C358C0"/>
    <w:rsid w:val="00C3665D"/>
    <w:rsid w:val="00C424D4"/>
    <w:rsid w:val="00C424E9"/>
    <w:rsid w:val="00C429DB"/>
    <w:rsid w:val="00C43342"/>
    <w:rsid w:val="00C436B8"/>
    <w:rsid w:val="00C43AB7"/>
    <w:rsid w:val="00C4441B"/>
    <w:rsid w:val="00C44B8B"/>
    <w:rsid w:val="00C44B9F"/>
    <w:rsid w:val="00C44D43"/>
    <w:rsid w:val="00C524FC"/>
    <w:rsid w:val="00C52628"/>
    <w:rsid w:val="00C52B28"/>
    <w:rsid w:val="00C539DD"/>
    <w:rsid w:val="00C53DED"/>
    <w:rsid w:val="00C5448B"/>
    <w:rsid w:val="00C55317"/>
    <w:rsid w:val="00C561D5"/>
    <w:rsid w:val="00C562DB"/>
    <w:rsid w:val="00C5650C"/>
    <w:rsid w:val="00C578CF"/>
    <w:rsid w:val="00C600BD"/>
    <w:rsid w:val="00C616AC"/>
    <w:rsid w:val="00C62BEB"/>
    <w:rsid w:val="00C62F8E"/>
    <w:rsid w:val="00C639CE"/>
    <w:rsid w:val="00C66253"/>
    <w:rsid w:val="00C664CA"/>
    <w:rsid w:val="00C6705E"/>
    <w:rsid w:val="00C70728"/>
    <w:rsid w:val="00C74082"/>
    <w:rsid w:val="00C746AA"/>
    <w:rsid w:val="00C75BFD"/>
    <w:rsid w:val="00C75E90"/>
    <w:rsid w:val="00C7710D"/>
    <w:rsid w:val="00C774D9"/>
    <w:rsid w:val="00C7755E"/>
    <w:rsid w:val="00C80F7A"/>
    <w:rsid w:val="00C81908"/>
    <w:rsid w:val="00C8287C"/>
    <w:rsid w:val="00C82E35"/>
    <w:rsid w:val="00C83F4F"/>
    <w:rsid w:val="00C86D9C"/>
    <w:rsid w:val="00C8703D"/>
    <w:rsid w:val="00C87426"/>
    <w:rsid w:val="00C87830"/>
    <w:rsid w:val="00C91598"/>
    <w:rsid w:val="00C91DEE"/>
    <w:rsid w:val="00C94173"/>
    <w:rsid w:val="00C944DE"/>
    <w:rsid w:val="00C94949"/>
    <w:rsid w:val="00C9583B"/>
    <w:rsid w:val="00C962D3"/>
    <w:rsid w:val="00C97729"/>
    <w:rsid w:val="00C978A6"/>
    <w:rsid w:val="00C97906"/>
    <w:rsid w:val="00C97B7D"/>
    <w:rsid w:val="00CA1A61"/>
    <w:rsid w:val="00CA2071"/>
    <w:rsid w:val="00CA2463"/>
    <w:rsid w:val="00CA2ABE"/>
    <w:rsid w:val="00CA5579"/>
    <w:rsid w:val="00CA6A12"/>
    <w:rsid w:val="00CA72F1"/>
    <w:rsid w:val="00CB0D08"/>
    <w:rsid w:val="00CB12B2"/>
    <w:rsid w:val="00CB3A2F"/>
    <w:rsid w:val="00CB448C"/>
    <w:rsid w:val="00CB4E15"/>
    <w:rsid w:val="00CB5A98"/>
    <w:rsid w:val="00CB65EA"/>
    <w:rsid w:val="00CB67EB"/>
    <w:rsid w:val="00CC0817"/>
    <w:rsid w:val="00CC0BD0"/>
    <w:rsid w:val="00CC1A88"/>
    <w:rsid w:val="00CC1D3F"/>
    <w:rsid w:val="00CC2CD9"/>
    <w:rsid w:val="00CC31D5"/>
    <w:rsid w:val="00CC4512"/>
    <w:rsid w:val="00CC4841"/>
    <w:rsid w:val="00CC4D5F"/>
    <w:rsid w:val="00CC57FD"/>
    <w:rsid w:val="00CC5AAB"/>
    <w:rsid w:val="00CC6AFA"/>
    <w:rsid w:val="00CC7862"/>
    <w:rsid w:val="00CD0EF7"/>
    <w:rsid w:val="00CD27C6"/>
    <w:rsid w:val="00CD31E8"/>
    <w:rsid w:val="00CD4B6C"/>
    <w:rsid w:val="00CD52CC"/>
    <w:rsid w:val="00CD6485"/>
    <w:rsid w:val="00CD69DF"/>
    <w:rsid w:val="00CD6B26"/>
    <w:rsid w:val="00CE1A96"/>
    <w:rsid w:val="00CE1E18"/>
    <w:rsid w:val="00CE3E54"/>
    <w:rsid w:val="00CE3E99"/>
    <w:rsid w:val="00CE42BB"/>
    <w:rsid w:val="00CE4632"/>
    <w:rsid w:val="00CE4F21"/>
    <w:rsid w:val="00CE57C5"/>
    <w:rsid w:val="00CE608E"/>
    <w:rsid w:val="00CE7033"/>
    <w:rsid w:val="00CF0EFD"/>
    <w:rsid w:val="00CF19B2"/>
    <w:rsid w:val="00CF2CD5"/>
    <w:rsid w:val="00CF6BF3"/>
    <w:rsid w:val="00CF7163"/>
    <w:rsid w:val="00CF758A"/>
    <w:rsid w:val="00CF7F81"/>
    <w:rsid w:val="00D00F9A"/>
    <w:rsid w:val="00D0154E"/>
    <w:rsid w:val="00D01601"/>
    <w:rsid w:val="00D03113"/>
    <w:rsid w:val="00D040AE"/>
    <w:rsid w:val="00D040FB"/>
    <w:rsid w:val="00D04406"/>
    <w:rsid w:val="00D0527D"/>
    <w:rsid w:val="00D05F5A"/>
    <w:rsid w:val="00D06832"/>
    <w:rsid w:val="00D07C5D"/>
    <w:rsid w:val="00D1174E"/>
    <w:rsid w:val="00D127C9"/>
    <w:rsid w:val="00D136DD"/>
    <w:rsid w:val="00D15000"/>
    <w:rsid w:val="00D1774C"/>
    <w:rsid w:val="00D17F37"/>
    <w:rsid w:val="00D21508"/>
    <w:rsid w:val="00D21550"/>
    <w:rsid w:val="00D218F3"/>
    <w:rsid w:val="00D21AA9"/>
    <w:rsid w:val="00D21D17"/>
    <w:rsid w:val="00D2319D"/>
    <w:rsid w:val="00D251E1"/>
    <w:rsid w:val="00D27F5C"/>
    <w:rsid w:val="00D3152A"/>
    <w:rsid w:val="00D32AF5"/>
    <w:rsid w:val="00D32F14"/>
    <w:rsid w:val="00D3375D"/>
    <w:rsid w:val="00D34698"/>
    <w:rsid w:val="00D35B12"/>
    <w:rsid w:val="00D35E4D"/>
    <w:rsid w:val="00D410A6"/>
    <w:rsid w:val="00D422A5"/>
    <w:rsid w:val="00D43550"/>
    <w:rsid w:val="00D4442B"/>
    <w:rsid w:val="00D44BD5"/>
    <w:rsid w:val="00D44CA3"/>
    <w:rsid w:val="00D44D20"/>
    <w:rsid w:val="00D451C2"/>
    <w:rsid w:val="00D458E2"/>
    <w:rsid w:val="00D45D42"/>
    <w:rsid w:val="00D45E37"/>
    <w:rsid w:val="00D45F21"/>
    <w:rsid w:val="00D46F9B"/>
    <w:rsid w:val="00D470F0"/>
    <w:rsid w:val="00D4773A"/>
    <w:rsid w:val="00D501BF"/>
    <w:rsid w:val="00D51030"/>
    <w:rsid w:val="00D51E34"/>
    <w:rsid w:val="00D523E6"/>
    <w:rsid w:val="00D53565"/>
    <w:rsid w:val="00D540E4"/>
    <w:rsid w:val="00D54BF8"/>
    <w:rsid w:val="00D57B98"/>
    <w:rsid w:val="00D57BAF"/>
    <w:rsid w:val="00D60269"/>
    <w:rsid w:val="00D62224"/>
    <w:rsid w:val="00D63D15"/>
    <w:rsid w:val="00D63EF5"/>
    <w:rsid w:val="00D63F63"/>
    <w:rsid w:val="00D6403C"/>
    <w:rsid w:val="00D64A68"/>
    <w:rsid w:val="00D66549"/>
    <w:rsid w:val="00D66951"/>
    <w:rsid w:val="00D701F6"/>
    <w:rsid w:val="00D7203C"/>
    <w:rsid w:val="00D727C4"/>
    <w:rsid w:val="00D755AC"/>
    <w:rsid w:val="00D76D8B"/>
    <w:rsid w:val="00D7721A"/>
    <w:rsid w:val="00D778DB"/>
    <w:rsid w:val="00D802B5"/>
    <w:rsid w:val="00D8034E"/>
    <w:rsid w:val="00D81407"/>
    <w:rsid w:val="00D82150"/>
    <w:rsid w:val="00D82E4A"/>
    <w:rsid w:val="00D84074"/>
    <w:rsid w:val="00D8445A"/>
    <w:rsid w:val="00D87A5F"/>
    <w:rsid w:val="00D87C73"/>
    <w:rsid w:val="00D90ED1"/>
    <w:rsid w:val="00D92DA9"/>
    <w:rsid w:val="00D93402"/>
    <w:rsid w:val="00D934A8"/>
    <w:rsid w:val="00D937BA"/>
    <w:rsid w:val="00D93862"/>
    <w:rsid w:val="00D93D5A"/>
    <w:rsid w:val="00D948CE"/>
    <w:rsid w:val="00D959F9"/>
    <w:rsid w:val="00D95EF1"/>
    <w:rsid w:val="00D97962"/>
    <w:rsid w:val="00D97BBC"/>
    <w:rsid w:val="00D97FFD"/>
    <w:rsid w:val="00DA0120"/>
    <w:rsid w:val="00DA0689"/>
    <w:rsid w:val="00DA11EA"/>
    <w:rsid w:val="00DA1A0F"/>
    <w:rsid w:val="00DA1B46"/>
    <w:rsid w:val="00DA32A3"/>
    <w:rsid w:val="00DA498A"/>
    <w:rsid w:val="00DA4D8C"/>
    <w:rsid w:val="00DA6E0B"/>
    <w:rsid w:val="00DA7993"/>
    <w:rsid w:val="00DB0B3E"/>
    <w:rsid w:val="00DB0BE5"/>
    <w:rsid w:val="00DB16C4"/>
    <w:rsid w:val="00DB1790"/>
    <w:rsid w:val="00DB1CCC"/>
    <w:rsid w:val="00DB34B6"/>
    <w:rsid w:val="00DB3A23"/>
    <w:rsid w:val="00DB4D6E"/>
    <w:rsid w:val="00DB6412"/>
    <w:rsid w:val="00DB7A8C"/>
    <w:rsid w:val="00DB7D7B"/>
    <w:rsid w:val="00DC044B"/>
    <w:rsid w:val="00DC2732"/>
    <w:rsid w:val="00DC409B"/>
    <w:rsid w:val="00DC5460"/>
    <w:rsid w:val="00DC64D6"/>
    <w:rsid w:val="00DC6F22"/>
    <w:rsid w:val="00DD062C"/>
    <w:rsid w:val="00DD1E56"/>
    <w:rsid w:val="00DD266F"/>
    <w:rsid w:val="00DD2997"/>
    <w:rsid w:val="00DD3901"/>
    <w:rsid w:val="00DD4263"/>
    <w:rsid w:val="00DD60FB"/>
    <w:rsid w:val="00DD6416"/>
    <w:rsid w:val="00DE19DB"/>
    <w:rsid w:val="00DE349A"/>
    <w:rsid w:val="00DE3EF3"/>
    <w:rsid w:val="00DE40F7"/>
    <w:rsid w:val="00DE4209"/>
    <w:rsid w:val="00DE4A16"/>
    <w:rsid w:val="00DE6CB5"/>
    <w:rsid w:val="00DE7A4E"/>
    <w:rsid w:val="00DF21F5"/>
    <w:rsid w:val="00DF29C1"/>
    <w:rsid w:val="00DF3D28"/>
    <w:rsid w:val="00DF5A35"/>
    <w:rsid w:val="00E0160C"/>
    <w:rsid w:val="00E046CD"/>
    <w:rsid w:val="00E048D6"/>
    <w:rsid w:val="00E062CA"/>
    <w:rsid w:val="00E064DB"/>
    <w:rsid w:val="00E06C57"/>
    <w:rsid w:val="00E06D15"/>
    <w:rsid w:val="00E10769"/>
    <w:rsid w:val="00E110B3"/>
    <w:rsid w:val="00E11DBB"/>
    <w:rsid w:val="00E12402"/>
    <w:rsid w:val="00E12CD2"/>
    <w:rsid w:val="00E12E1A"/>
    <w:rsid w:val="00E13334"/>
    <w:rsid w:val="00E14E26"/>
    <w:rsid w:val="00E1550B"/>
    <w:rsid w:val="00E15BA9"/>
    <w:rsid w:val="00E15E0F"/>
    <w:rsid w:val="00E179D7"/>
    <w:rsid w:val="00E17BAB"/>
    <w:rsid w:val="00E17ED7"/>
    <w:rsid w:val="00E20C0A"/>
    <w:rsid w:val="00E21193"/>
    <w:rsid w:val="00E22F39"/>
    <w:rsid w:val="00E2543E"/>
    <w:rsid w:val="00E268CF"/>
    <w:rsid w:val="00E26CDE"/>
    <w:rsid w:val="00E27DA6"/>
    <w:rsid w:val="00E322EE"/>
    <w:rsid w:val="00E33090"/>
    <w:rsid w:val="00E34D42"/>
    <w:rsid w:val="00E350D9"/>
    <w:rsid w:val="00E36F0A"/>
    <w:rsid w:val="00E371C2"/>
    <w:rsid w:val="00E37835"/>
    <w:rsid w:val="00E37AB0"/>
    <w:rsid w:val="00E40687"/>
    <w:rsid w:val="00E40C4D"/>
    <w:rsid w:val="00E42AD5"/>
    <w:rsid w:val="00E42E15"/>
    <w:rsid w:val="00E43AA7"/>
    <w:rsid w:val="00E43AFE"/>
    <w:rsid w:val="00E50DD1"/>
    <w:rsid w:val="00E5103C"/>
    <w:rsid w:val="00E5153C"/>
    <w:rsid w:val="00E5356D"/>
    <w:rsid w:val="00E54108"/>
    <w:rsid w:val="00E546C3"/>
    <w:rsid w:val="00E549CC"/>
    <w:rsid w:val="00E55029"/>
    <w:rsid w:val="00E55F76"/>
    <w:rsid w:val="00E56D41"/>
    <w:rsid w:val="00E57595"/>
    <w:rsid w:val="00E60B85"/>
    <w:rsid w:val="00E61174"/>
    <w:rsid w:val="00E61D4F"/>
    <w:rsid w:val="00E6476D"/>
    <w:rsid w:val="00E65772"/>
    <w:rsid w:val="00E65AFC"/>
    <w:rsid w:val="00E66358"/>
    <w:rsid w:val="00E663B5"/>
    <w:rsid w:val="00E666ED"/>
    <w:rsid w:val="00E67AAC"/>
    <w:rsid w:val="00E67D8D"/>
    <w:rsid w:val="00E70AFB"/>
    <w:rsid w:val="00E729E2"/>
    <w:rsid w:val="00E72A46"/>
    <w:rsid w:val="00E72ACC"/>
    <w:rsid w:val="00E73569"/>
    <w:rsid w:val="00E73788"/>
    <w:rsid w:val="00E75284"/>
    <w:rsid w:val="00E75716"/>
    <w:rsid w:val="00E772BE"/>
    <w:rsid w:val="00E808A6"/>
    <w:rsid w:val="00E80F3E"/>
    <w:rsid w:val="00E8247F"/>
    <w:rsid w:val="00E826C7"/>
    <w:rsid w:val="00E834A8"/>
    <w:rsid w:val="00E846E9"/>
    <w:rsid w:val="00E84AEC"/>
    <w:rsid w:val="00E8568F"/>
    <w:rsid w:val="00E867C5"/>
    <w:rsid w:val="00E86B05"/>
    <w:rsid w:val="00E87AE4"/>
    <w:rsid w:val="00E9077D"/>
    <w:rsid w:val="00E90CC4"/>
    <w:rsid w:val="00E90F1A"/>
    <w:rsid w:val="00E90F96"/>
    <w:rsid w:val="00E91B42"/>
    <w:rsid w:val="00E91ECE"/>
    <w:rsid w:val="00E92509"/>
    <w:rsid w:val="00E93710"/>
    <w:rsid w:val="00E96553"/>
    <w:rsid w:val="00E97404"/>
    <w:rsid w:val="00E97583"/>
    <w:rsid w:val="00EA0060"/>
    <w:rsid w:val="00EA08EB"/>
    <w:rsid w:val="00EA0D21"/>
    <w:rsid w:val="00EA0E68"/>
    <w:rsid w:val="00EA2E77"/>
    <w:rsid w:val="00EA5504"/>
    <w:rsid w:val="00EA586B"/>
    <w:rsid w:val="00EA5FA6"/>
    <w:rsid w:val="00EB08C5"/>
    <w:rsid w:val="00EB20FB"/>
    <w:rsid w:val="00EB2BB6"/>
    <w:rsid w:val="00EB3636"/>
    <w:rsid w:val="00EB3889"/>
    <w:rsid w:val="00EB38A0"/>
    <w:rsid w:val="00EB4AE2"/>
    <w:rsid w:val="00EB4E43"/>
    <w:rsid w:val="00EB6286"/>
    <w:rsid w:val="00EB68B3"/>
    <w:rsid w:val="00EC08CA"/>
    <w:rsid w:val="00EC0A10"/>
    <w:rsid w:val="00EC2CE8"/>
    <w:rsid w:val="00EC4868"/>
    <w:rsid w:val="00EC4DDF"/>
    <w:rsid w:val="00EC4DFB"/>
    <w:rsid w:val="00EC60D4"/>
    <w:rsid w:val="00EC72E3"/>
    <w:rsid w:val="00ED2986"/>
    <w:rsid w:val="00ED2D32"/>
    <w:rsid w:val="00ED2E38"/>
    <w:rsid w:val="00ED369D"/>
    <w:rsid w:val="00ED4B28"/>
    <w:rsid w:val="00ED5D14"/>
    <w:rsid w:val="00ED6D32"/>
    <w:rsid w:val="00ED7B04"/>
    <w:rsid w:val="00EE07B7"/>
    <w:rsid w:val="00EE0D7C"/>
    <w:rsid w:val="00EE14D2"/>
    <w:rsid w:val="00EE3887"/>
    <w:rsid w:val="00EE5091"/>
    <w:rsid w:val="00EE5F72"/>
    <w:rsid w:val="00EE64A2"/>
    <w:rsid w:val="00EE6575"/>
    <w:rsid w:val="00EF098D"/>
    <w:rsid w:val="00EF2238"/>
    <w:rsid w:val="00EF3406"/>
    <w:rsid w:val="00EF3F71"/>
    <w:rsid w:val="00EF4174"/>
    <w:rsid w:val="00EF4338"/>
    <w:rsid w:val="00EF457B"/>
    <w:rsid w:val="00EF45D6"/>
    <w:rsid w:val="00EF4854"/>
    <w:rsid w:val="00EF5EED"/>
    <w:rsid w:val="00EF6F06"/>
    <w:rsid w:val="00EF74D2"/>
    <w:rsid w:val="00EF7CDA"/>
    <w:rsid w:val="00F03AB5"/>
    <w:rsid w:val="00F03F44"/>
    <w:rsid w:val="00F041A9"/>
    <w:rsid w:val="00F043BD"/>
    <w:rsid w:val="00F049BF"/>
    <w:rsid w:val="00F0544F"/>
    <w:rsid w:val="00F06149"/>
    <w:rsid w:val="00F066F5"/>
    <w:rsid w:val="00F078D0"/>
    <w:rsid w:val="00F1009A"/>
    <w:rsid w:val="00F10A73"/>
    <w:rsid w:val="00F10E7B"/>
    <w:rsid w:val="00F11806"/>
    <w:rsid w:val="00F12CA5"/>
    <w:rsid w:val="00F1331B"/>
    <w:rsid w:val="00F13B85"/>
    <w:rsid w:val="00F156DA"/>
    <w:rsid w:val="00F16DFA"/>
    <w:rsid w:val="00F21D94"/>
    <w:rsid w:val="00F225DE"/>
    <w:rsid w:val="00F229B4"/>
    <w:rsid w:val="00F27E27"/>
    <w:rsid w:val="00F305F3"/>
    <w:rsid w:val="00F31153"/>
    <w:rsid w:val="00F31187"/>
    <w:rsid w:val="00F31CE2"/>
    <w:rsid w:val="00F31EF1"/>
    <w:rsid w:val="00F33A8C"/>
    <w:rsid w:val="00F3400B"/>
    <w:rsid w:val="00F341D7"/>
    <w:rsid w:val="00F34A46"/>
    <w:rsid w:val="00F34C75"/>
    <w:rsid w:val="00F34F10"/>
    <w:rsid w:val="00F35CC2"/>
    <w:rsid w:val="00F36119"/>
    <w:rsid w:val="00F36189"/>
    <w:rsid w:val="00F37490"/>
    <w:rsid w:val="00F37E6E"/>
    <w:rsid w:val="00F42802"/>
    <w:rsid w:val="00F42EAC"/>
    <w:rsid w:val="00F44891"/>
    <w:rsid w:val="00F455C3"/>
    <w:rsid w:val="00F45904"/>
    <w:rsid w:val="00F46017"/>
    <w:rsid w:val="00F50A6E"/>
    <w:rsid w:val="00F50F08"/>
    <w:rsid w:val="00F5153E"/>
    <w:rsid w:val="00F516A3"/>
    <w:rsid w:val="00F520A1"/>
    <w:rsid w:val="00F52555"/>
    <w:rsid w:val="00F526D4"/>
    <w:rsid w:val="00F52A15"/>
    <w:rsid w:val="00F5312B"/>
    <w:rsid w:val="00F53E14"/>
    <w:rsid w:val="00F549FF"/>
    <w:rsid w:val="00F551EC"/>
    <w:rsid w:val="00F5534A"/>
    <w:rsid w:val="00F5597A"/>
    <w:rsid w:val="00F56F2D"/>
    <w:rsid w:val="00F57B4F"/>
    <w:rsid w:val="00F603DC"/>
    <w:rsid w:val="00F6051C"/>
    <w:rsid w:val="00F621C0"/>
    <w:rsid w:val="00F6275B"/>
    <w:rsid w:val="00F62A09"/>
    <w:rsid w:val="00F62C09"/>
    <w:rsid w:val="00F63741"/>
    <w:rsid w:val="00F63B1C"/>
    <w:rsid w:val="00F63B89"/>
    <w:rsid w:val="00F655D4"/>
    <w:rsid w:val="00F65AF6"/>
    <w:rsid w:val="00F65BE9"/>
    <w:rsid w:val="00F6680B"/>
    <w:rsid w:val="00F6694D"/>
    <w:rsid w:val="00F67847"/>
    <w:rsid w:val="00F678E1"/>
    <w:rsid w:val="00F67C70"/>
    <w:rsid w:val="00F70C83"/>
    <w:rsid w:val="00F70D35"/>
    <w:rsid w:val="00F7181D"/>
    <w:rsid w:val="00F72577"/>
    <w:rsid w:val="00F73959"/>
    <w:rsid w:val="00F73D92"/>
    <w:rsid w:val="00F7489C"/>
    <w:rsid w:val="00F80729"/>
    <w:rsid w:val="00F81852"/>
    <w:rsid w:val="00F8262F"/>
    <w:rsid w:val="00F837ED"/>
    <w:rsid w:val="00F83A0F"/>
    <w:rsid w:val="00F846A6"/>
    <w:rsid w:val="00F86123"/>
    <w:rsid w:val="00F8682A"/>
    <w:rsid w:val="00F87381"/>
    <w:rsid w:val="00F904CA"/>
    <w:rsid w:val="00F90B61"/>
    <w:rsid w:val="00F91815"/>
    <w:rsid w:val="00F93AE2"/>
    <w:rsid w:val="00F942C8"/>
    <w:rsid w:val="00F945B4"/>
    <w:rsid w:val="00F945BA"/>
    <w:rsid w:val="00F9504B"/>
    <w:rsid w:val="00F9513D"/>
    <w:rsid w:val="00F9786D"/>
    <w:rsid w:val="00F97A9D"/>
    <w:rsid w:val="00F97D25"/>
    <w:rsid w:val="00FA0187"/>
    <w:rsid w:val="00FA0655"/>
    <w:rsid w:val="00FA0B18"/>
    <w:rsid w:val="00FA1134"/>
    <w:rsid w:val="00FA2EB2"/>
    <w:rsid w:val="00FA379E"/>
    <w:rsid w:val="00FA4238"/>
    <w:rsid w:val="00FA4ABF"/>
    <w:rsid w:val="00FA5337"/>
    <w:rsid w:val="00FA6C4B"/>
    <w:rsid w:val="00FB0172"/>
    <w:rsid w:val="00FB19A6"/>
    <w:rsid w:val="00FB1CB8"/>
    <w:rsid w:val="00FB3FA0"/>
    <w:rsid w:val="00FB41CC"/>
    <w:rsid w:val="00FB4258"/>
    <w:rsid w:val="00FB44B0"/>
    <w:rsid w:val="00FB4A72"/>
    <w:rsid w:val="00FB5ED0"/>
    <w:rsid w:val="00FC273B"/>
    <w:rsid w:val="00FC27DE"/>
    <w:rsid w:val="00FC3DC4"/>
    <w:rsid w:val="00FC5079"/>
    <w:rsid w:val="00FC5D49"/>
    <w:rsid w:val="00FC5E77"/>
    <w:rsid w:val="00FD0064"/>
    <w:rsid w:val="00FD0188"/>
    <w:rsid w:val="00FD101A"/>
    <w:rsid w:val="00FD1878"/>
    <w:rsid w:val="00FD25E6"/>
    <w:rsid w:val="00FD2E78"/>
    <w:rsid w:val="00FD59FC"/>
    <w:rsid w:val="00FD60EE"/>
    <w:rsid w:val="00FD6F14"/>
    <w:rsid w:val="00FD6F75"/>
    <w:rsid w:val="00FD7C35"/>
    <w:rsid w:val="00FE026B"/>
    <w:rsid w:val="00FE0740"/>
    <w:rsid w:val="00FE0BAC"/>
    <w:rsid w:val="00FE11FB"/>
    <w:rsid w:val="00FE19CF"/>
    <w:rsid w:val="00FE1BF6"/>
    <w:rsid w:val="00FE30E2"/>
    <w:rsid w:val="00FE68D8"/>
    <w:rsid w:val="00FE707D"/>
    <w:rsid w:val="00FF0134"/>
    <w:rsid w:val="00FF1F3C"/>
    <w:rsid w:val="00FF2034"/>
    <w:rsid w:val="00FF4B17"/>
    <w:rsid w:val="00FF6980"/>
    <w:rsid w:val="00FF6ACC"/>
    <w:rsid w:val="00FF71A7"/>
    <w:rsid w:val="010D234E"/>
    <w:rsid w:val="01172A6A"/>
    <w:rsid w:val="016123B0"/>
    <w:rsid w:val="01887ACF"/>
    <w:rsid w:val="018F6A3E"/>
    <w:rsid w:val="01A927F4"/>
    <w:rsid w:val="01B15417"/>
    <w:rsid w:val="01E44FC4"/>
    <w:rsid w:val="01ED7E75"/>
    <w:rsid w:val="01F257CF"/>
    <w:rsid w:val="01FF61CE"/>
    <w:rsid w:val="024069D2"/>
    <w:rsid w:val="02A93D64"/>
    <w:rsid w:val="03134D48"/>
    <w:rsid w:val="03912F41"/>
    <w:rsid w:val="04057EA2"/>
    <w:rsid w:val="04113C31"/>
    <w:rsid w:val="043C683B"/>
    <w:rsid w:val="045C06DE"/>
    <w:rsid w:val="0478726C"/>
    <w:rsid w:val="04910F7B"/>
    <w:rsid w:val="04CA6F40"/>
    <w:rsid w:val="052D4EEB"/>
    <w:rsid w:val="05362CC4"/>
    <w:rsid w:val="056A1C9B"/>
    <w:rsid w:val="05746676"/>
    <w:rsid w:val="05BB4A50"/>
    <w:rsid w:val="05D96490"/>
    <w:rsid w:val="060242FB"/>
    <w:rsid w:val="0643004E"/>
    <w:rsid w:val="06563FCE"/>
    <w:rsid w:val="06937532"/>
    <w:rsid w:val="06ED23F6"/>
    <w:rsid w:val="06FA395A"/>
    <w:rsid w:val="0738010D"/>
    <w:rsid w:val="07585B24"/>
    <w:rsid w:val="07616B6C"/>
    <w:rsid w:val="07665293"/>
    <w:rsid w:val="079D6125"/>
    <w:rsid w:val="07A05109"/>
    <w:rsid w:val="07D72EEC"/>
    <w:rsid w:val="08387588"/>
    <w:rsid w:val="087D39BA"/>
    <w:rsid w:val="08BF603D"/>
    <w:rsid w:val="08E2314B"/>
    <w:rsid w:val="08F63846"/>
    <w:rsid w:val="09511B82"/>
    <w:rsid w:val="09C12F73"/>
    <w:rsid w:val="09FD7A23"/>
    <w:rsid w:val="0A314E36"/>
    <w:rsid w:val="0A436808"/>
    <w:rsid w:val="0A785D2B"/>
    <w:rsid w:val="0A803DC7"/>
    <w:rsid w:val="0B0A4702"/>
    <w:rsid w:val="0B443F87"/>
    <w:rsid w:val="0B446AAE"/>
    <w:rsid w:val="0B6861FF"/>
    <w:rsid w:val="0B787929"/>
    <w:rsid w:val="0B8A6BBB"/>
    <w:rsid w:val="0B942677"/>
    <w:rsid w:val="0BFC61CB"/>
    <w:rsid w:val="0BFE1B0E"/>
    <w:rsid w:val="0C0F471E"/>
    <w:rsid w:val="0C8F0210"/>
    <w:rsid w:val="0D5E3149"/>
    <w:rsid w:val="0D820BF7"/>
    <w:rsid w:val="0D8D4779"/>
    <w:rsid w:val="0DA02A28"/>
    <w:rsid w:val="0DF90D86"/>
    <w:rsid w:val="0E040E76"/>
    <w:rsid w:val="0E0F7E4D"/>
    <w:rsid w:val="0E6863E4"/>
    <w:rsid w:val="0E971E34"/>
    <w:rsid w:val="0F6C5E1D"/>
    <w:rsid w:val="0F6E0CFD"/>
    <w:rsid w:val="102C75B1"/>
    <w:rsid w:val="105878A1"/>
    <w:rsid w:val="10C624BA"/>
    <w:rsid w:val="11001706"/>
    <w:rsid w:val="11046A06"/>
    <w:rsid w:val="112A5D4C"/>
    <w:rsid w:val="12055BC1"/>
    <w:rsid w:val="122D7041"/>
    <w:rsid w:val="122F159C"/>
    <w:rsid w:val="123637FA"/>
    <w:rsid w:val="12530289"/>
    <w:rsid w:val="12BB6B46"/>
    <w:rsid w:val="13050A51"/>
    <w:rsid w:val="132D60B6"/>
    <w:rsid w:val="137F7A0B"/>
    <w:rsid w:val="13A110D0"/>
    <w:rsid w:val="14193238"/>
    <w:rsid w:val="14643749"/>
    <w:rsid w:val="14B364B2"/>
    <w:rsid w:val="14C24267"/>
    <w:rsid w:val="14C663E1"/>
    <w:rsid w:val="150244F5"/>
    <w:rsid w:val="151561F8"/>
    <w:rsid w:val="1560139F"/>
    <w:rsid w:val="156D7B61"/>
    <w:rsid w:val="15A8124A"/>
    <w:rsid w:val="15CE1DD3"/>
    <w:rsid w:val="15E555FF"/>
    <w:rsid w:val="16E538DC"/>
    <w:rsid w:val="16FC50BC"/>
    <w:rsid w:val="170D7DE4"/>
    <w:rsid w:val="1721190A"/>
    <w:rsid w:val="174868A4"/>
    <w:rsid w:val="17CE05C8"/>
    <w:rsid w:val="18B254C1"/>
    <w:rsid w:val="18BC7A58"/>
    <w:rsid w:val="18F558C8"/>
    <w:rsid w:val="191524DC"/>
    <w:rsid w:val="19523F7D"/>
    <w:rsid w:val="196D622E"/>
    <w:rsid w:val="199F3E9F"/>
    <w:rsid w:val="19BC4FD7"/>
    <w:rsid w:val="19EF049F"/>
    <w:rsid w:val="19FA6C8C"/>
    <w:rsid w:val="1A150C75"/>
    <w:rsid w:val="1A322C1F"/>
    <w:rsid w:val="1A5421DF"/>
    <w:rsid w:val="1AB67E49"/>
    <w:rsid w:val="1AFF6189"/>
    <w:rsid w:val="1B1D7737"/>
    <w:rsid w:val="1B1F3899"/>
    <w:rsid w:val="1B4A28BD"/>
    <w:rsid w:val="1B626C5E"/>
    <w:rsid w:val="1B8F7FDA"/>
    <w:rsid w:val="1BE32D33"/>
    <w:rsid w:val="1C531437"/>
    <w:rsid w:val="1D687A4F"/>
    <w:rsid w:val="1DB10BF5"/>
    <w:rsid w:val="1DEE496F"/>
    <w:rsid w:val="1E0908B0"/>
    <w:rsid w:val="1E2A1B70"/>
    <w:rsid w:val="1F3A0991"/>
    <w:rsid w:val="1F3D447A"/>
    <w:rsid w:val="1F4B3387"/>
    <w:rsid w:val="1F7F5A66"/>
    <w:rsid w:val="1FD4274B"/>
    <w:rsid w:val="1FDC4053"/>
    <w:rsid w:val="2014296C"/>
    <w:rsid w:val="20476091"/>
    <w:rsid w:val="20641C8E"/>
    <w:rsid w:val="2074274D"/>
    <w:rsid w:val="215A22DA"/>
    <w:rsid w:val="220663BB"/>
    <w:rsid w:val="22AA1044"/>
    <w:rsid w:val="22AC524A"/>
    <w:rsid w:val="22C30FBE"/>
    <w:rsid w:val="230952E8"/>
    <w:rsid w:val="23306D90"/>
    <w:rsid w:val="235D57D6"/>
    <w:rsid w:val="23A14E1E"/>
    <w:rsid w:val="23BA3996"/>
    <w:rsid w:val="24022413"/>
    <w:rsid w:val="2455546D"/>
    <w:rsid w:val="247761DD"/>
    <w:rsid w:val="24D87982"/>
    <w:rsid w:val="25DD357E"/>
    <w:rsid w:val="26040EEF"/>
    <w:rsid w:val="260B7DC8"/>
    <w:rsid w:val="263942EA"/>
    <w:rsid w:val="26465697"/>
    <w:rsid w:val="264D28A0"/>
    <w:rsid w:val="26A32B38"/>
    <w:rsid w:val="26AA5F44"/>
    <w:rsid w:val="26EC06EA"/>
    <w:rsid w:val="26F30C12"/>
    <w:rsid w:val="2738565C"/>
    <w:rsid w:val="27AF3945"/>
    <w:rsid w:val="27C43035"/>
    <w:rsid w:val="28144D6D"/>
    <w:rsid w:val="2825523F"/>
    <w:rsid w:val="282647EB"/>
    <w:rsid w:val="28404E84"/>
    <w:rsid w:val="288D7802"/>
    <w:rsid w:val="28E74C36"/>
    <w:rsid w:val="28EF40E2"/>
    <w:rsid w:val="29525DC5"/>
    <w:rsid w:val="29DA37ED"/>
    <w:rsid w:val="2A1D4393"/>
    <w:rsid w:val="2A3F1558"/>
    <w:rsid w:val="2AA95B0D"/>
    <w:rsid w:val="2ADA74D9"/>
    <w:rsid w:val="2AED6499"/>
    <w:rsid w:val="2B183D7A"/>
    <w:rsid w:val="2B4713D7"/>
    <w:rsid w:val="2B59701E"/>
    <w:rsid w:val="2C077995"/>
    <w:rsid w:val="2C2005C5"/>
    <w:rsid w:val="2CBA66CC"/>
    <w:rsid w:val="2D12099A"/>
    <w:rsid w:val="2D467658"/>
    <w:rsid w:val="2DD64BC9"/>
    <w:rsid w:val="2DFB52D7"/>
    <w:rsid w:val="2E854687"/>
    <w:rsid w:val="2ECB0765"/>
    <w:rsid w:val="2F7A1298"/>
    <w:rsid w:val="2FF97050"/>
    <w:rsid w:val="300E62DA"/>
    <w:rsid w:val="302D4553"/>
    <w:rsid w:val="303E7E5D"/>
    <w:rsid w:val="305556AB"/>
    <w:rsid w:val="30737883"/>
    <w:rsid w:val="30961576"/>
    <w:rsid w:val="30AA338A"/>
    <w:rsid w:val="30BF3268"/>
    <w:rsid w:val="30E54127"/>
    <w:rsid w:val="312A7C4D"/>
    <w:rsid w:val="31F04EA9"/>
    <w:rsid w:val="323246E5"/>
    <w:rsid w:val="32597B49"/>
    <w:rsid w:val="325C33BF"/>
    <w:rsid w:val="32756F34"/>
    <w:rsid w:val="329A1838"/>
    <w:rsid w:val="32B25899"/>
    <w:rsid w:val="33196C24"/>
    <w:rsid w:val="334A0F9A"/>
    <w:rsid w:val="336F02F9"/>
    <w:rsid w:val="33B01681"/>
    <w:rsid w:val="33B95A18"/>
    <w:rsid w:val="33BA261A"/>
    <w:rsid w:val="33E67E90"/>
    <w:rsid w:val="33F829BD"/>
    <w:rsid w:val="33FD1AA3"/>
    <w:rsid w:val="340E30B5"/>
    <w:rsid w:val="345143E8"/>
    <w:rsid w:val="345A19B0"/>
    <w:rsid w:val="34807926"/>
    <w:rsid w:val="34A767CC"/>
    <w:rsid w:val="34DA4C04"/>
    <w:rsid w:val="34FA1E45"/>
    <w:rsid w:val="354748B4"/>
    <w:rsid w:val="355332D1"/>
    <w:rsid w:val="357D292D"/>
    <w:rsid w:val="35B216F6"/>
    <w:rsid w:val="35F47A28"/>
    <w:rsid w:val="35F67E38"/>
    <w:rsid w:val="36264F48"/>
    <w:rsid w:val="364C2B74"/>
    <w:rsid w:val="365E6403"/>
    <w:rsid w:val="36836397"/>
    <w:rsid w:val="37160E8A"/>
    <w:rsid w:val="372A0B38"/>
    <w:rsid w:val="37976983"/>
    <w:rsid w:val="3832423B"/>
    <w:rsid w:val="3883302E"/>
    <w:rsid w:val="38C96505"/>
    <w:rsid w:val="390011F8"/>
    <w:rsid w:val="3911775D"/>
    <w:rsid w:val="393371D4"/>
    <w:rsid w:val="3936572E"/>
    <w:rsid w:val="395B5EA8"/>
    <w:rsid w:val="396234B1"/>
    <w:rsid w:val="397913EA"/>
    <w:rsid w:val="3A97789A"/>
    <w:rsid w:val="3AB71F1F"/>
    <w:rsid w:val="3B30344F"/>
    <w:rsid w:val="3B766374"/>
    <w:rsid w:val="3B907BD2"/>
    <w:rsid w:val="3C5A58BF"/>
    <w:rsid w:val="3C9E071E"/>
    <w:rsid w:val="3D82532C"/>
    <w:rsid w:val="3D8B59E6"/>
    <w:rsid w:val="3DBE1FDC"/>
    <w:rsid w:val="3DE52FB2"/>
    <w:rsid w:val="3DEB5606"/>
    <w:rsid w:val="3DEE7F21"/>
    <w:rsid w:val="3DF12F53"/>
    <w:rsid w:val="3E186514"/>
    <w:rsid w:val="3E35213F"/>
    <w:rsid w:val="3E57068D"/>
    <w:rsid w:val="3E573FEF"/>
    <w:rsid w:val="3EA01809"/>
    <w:rsid w:val="3ECA25E8"/>
    <w:rsid w:val="3F7C522D"/>
    <w:rsid w:val="3FF809BA"/>
    <w:rsid w:val="400C2D4D"/>
    <w:rsid w:val="40223DB0"/>
    <w:rsid w:val="40335B5B"/>
    <w:rsid w:val="410526A2"/>
    <w:rsid w:val="41456B3D"/>
    <w:rsid w:val="4187200D"/>
    <w:rsid w:val="419A190B"/>
    <w:rsid w:val="41BC15D4"/>
    <w:rsid w:val="41F61BE6"/>
    <w:rsid w:val="42154762"/>
    <w:rsid w:val="423045AE"/>
    <w:rsid w:val="42333F65"/>
    <w:rsid w:val="42A83869"/>
    <w:rsid w:val="42BC075F"/>
    <w:rsid w:val="42EC2600"/>
    <w:rsid w:val="43087E22"/>
    <w:rsid w:val="431C2C26"/>
    <w:rsid w:val="436B3550"/>
    <w:rsid w:val="43B0794F"/>
    <w:rsid w:val="44097929"/>
    <w:rsid w:val="442B316C"/>
    <w:rsid w:val="4452279A"/>
    <w:rsid w:val="44AC45C4"/>
    <w:rsid w:val="44C2117B"/>
    <w:rsid w:val="44D81A76"/>
    <w:rsid w:val="44DF5B5B"/>
    <w:rsid w:val="45487564"/>
    <w:rsid w:val="458A0FC3"/>
    <w:rsid w:val="45A547C4"/>
    <w:rsid w:val="45C70839"/>
    <w:rsid w:val="46963997"/>
    <w:rsid w:val="46A22B25"/>
    <w:rsid w:val="46B5394B"/>
    <w:rsid w:val="46DC29FE"/>
    <w:rsid w:val="46F62C44"/>
    <w:rsid w:val="472E0C7B"/>
    <w:rsid w:val="47631ACB"/>
    <w:rsid w:val="478D7B84"/>
    <w:rsid w:val="479426C2"/>
    <w:rsid w:val="47A2247A"/>
    <w:rsid w:val="47DA1A58"/>
    <w:rsid w:val="489375B7"/>
    <w:rsid w:val="48D32C81"/>
    <w:rsid w:val="491F36CB"/>
    <w:rsid w:val="49640C61"/>
    <w:rsid w:val="496C3D18"/>
    <w:rsid w:val="49A46DBF"/>
    <w:rsid w:val="49E15142"/>
    <w:rsid w:val="4A02685A"/>
    <w:rsid w:val="4A0F7BD3"/>
    <w:rsid w:val="4A443E36"/>
    <w:rsid w:val="4A995143"/>
    <w:rsid w:val="4AC35EB8"/>
    <w:rsid w:val="4AC93CB5"/>
    <w:rsid w:val="4BD12C94"/>
    <w:rsid w:val="4BD21F92"/>
    <w:rsid w:val="4C2B0863"/>
    <w:rsid w:val="4CA92B6C"/>
    <w:rsid w:val="4D107DBC"/>
    <w:rsid w:val="4D1C6213"/>
    <w:rsid w:val="4D2A6229"/>
    <w:rsid w:val="4D477944"/>
    <w:rsid w:val="4D8E2052"/>
    <w:rsid w:val="4D9D589D"/>
    <w:rsid w:val="4DCC3587"/>
    <w:rsid w:val="4DD1482F"/>
    <w:rsid w:val="4E071685"/>
    <w:rsid w:val="4E3B1E46"/>
    <w:rsid w:val="4E3C1169"/>
    <w:rsid w:val="4E8E15E7"/>
    <w:rsid w:val="4E915170"/>
    <w:rsid w:val="4F3C3C9D"/>
    <w:rsid w:val="4F555A6A"/>
    <w:rsid w:val="4F5B752C"/>
    <w:rsid w:val="4FC66B4D"/>
    <w:rsid w:val="4FFF6109"/>
    <w:rsid w:val="50566671"/>
    <w:rsid w:val="50710D9C"/>
    <w:rsid w:val="507A01D0"/>
    <w:rsid w:val="507A37EC"/>
    <w:rsid w:val="508D2125"/>
    <w:rsid w:val="50BE458F"/>
    <w:rsid w:val="50F40414"/>
    <w:rsid w:val="515859A8"/>
    <w:rsid w:val="52137536"/>
    <w:rsid w:val="522E797C"/>
    <w:rsid w:val="52521AD9"/>
    <w:rsid w:val="528A7BF7"/>
    <w:rsid w:val="52D4387D"/>
    <w:rsid w:val="530A0F80"/>
    <w:rsid w:val="531C6FD2"/>
    <w:rsid w:val="536C4744"/>
    <w:rsid w:val="53ED1FB4"/>
    <w:rsid w:val="53F060AC"/>
    <w:rsid w:val="542654F3"/>
    <w:rsid w:val="542A0473"/>
    <w:rsid w:val="545B5523"/>
    <w:rsid w:val="548712CA"/>
    <w:rsid w:val="54D25EA0"/>
    <w:rsid w:val="54EE47EA"/>
    <w:rsid w:val="55340721"/>
    <w:rsid w:val="553A7055"/>
    <w:rsid w:val="553C04C2"/>
    <w:rsid w:val="55BE28AC"/>
    <w:rsid w:val="56026701"/>
    <w:rsid w:val="5665356C"/>
    <w:rsid w:val="56E758A3"/>
    <w:rsid w:val="56F1170A"/>
    <w:rsid w:val="57264DDD"/>
    <w:rsid w:val="57A557E8"/>
    <w:rsid w:val="58072AD5"/>
    <w:rsid w:val="586049E7"/>
    <w:rsid w:val="5883032D"/>
    <w:rsid w:val="58843F8D"/>
    <w:rsid w:val="58BC403F"/>
    <w:rsid w:val="594E132C"/>
    <w:rsid w:val="599B1B09"/>
    <w:rsid w:val="59CD14AB"/>
    <w:rsid w:val="59E5751C"/>
    <w:rsid w:val="59F56917"/>
    <w:rsid w:val="5A131EF0"/>
    <w:rsid w:val="5A272E2C"/>
    <w:rsid w:val="5A5906FD"/>
    <w:rsid w:val="5A8168F8"/>
    <w:rsid w:val="5B5545C8"/>
    <w:rsid w:val="5B611A89"/>
    <w:rsid w:val="5BBB1A7E"/>
    <w:rsid w:val="5BC92AB3"/>
    <w:rsid w:val="5BD22D9B"/>
    <w:rsid w:val="5C440DF2"/>
    <w:rsid w:val="5C6A0D8B"/>
    <w:rsid w:val="5C7E579C"/>
    <w:rsid w:val="5CC13432"/>
    <w:rsid w:val="5D447851"/>
    <w:rsid w:val="5D4D5F53"/>
    <w:rsid w:val="5D7C39DD"/>
    <w:rsid w:val="5DB52DB5"/>
    <w:rsid w:val="5E3C623A"/>
    <w:rsid w:val="5EA06D09"/>
    <w:rsid w:val="5EEA6AE6"/>
    <w:rsid w:val="5F603F32"/>
    <w:rsid w:val="5FCB04E8"/>
    <w:rsid w:val="5FE377F5"/>
    <w:rsid w:val="5FF3286F"/>
    <w:rsid w:val="60486D93"/>
    <w:rsid w:val="60664215"/>
    <w:rsid w:val="60666ACE"/>
    <w:rsid w:val="606A4604"/>
    <w:rsid w:val="60BD4FE2"/>
    <w:rsid w:val="60E67408"/>
    <w:rsid w:val="611678CB"/>
    <w:rsid w:val="6135429A"/>
    <w:rsid w:val="61F306E3"/>
    <w:rsid w:val="622C5371"/>
    <w:rsid w:val="629922C1"/>
    <w:rsid w:val="62EF4397"/>
    <w:rsid w:val="63384141"/>
    <w:rsid w:val="6353259C"/>
    <w:rsid w:val="63627004"/>
    <w:rsid w:val="63FE0C26"/>
    <w:rsid w:val="6417181C"/>
    <w:rsid w:val="64395C36"/>
    <w:rsid w:val="643B5D51"/>
    <w:rsid w:val="64550025"/>
    <w:rsid w:val="6481455F"/>
    <w:rsid w:val="64862FB3"/>
    <w:rsid w:val="64BC0E1D"/>
    <w:rsid w:val="64E317FD"/>
    <w:rsid w:val="64EE63C7"/>
    <w:rsid w:val="653F7992"/>
    <w:rsid w:val="65433829"/>
    <w:rsid w:val="662E2BE3"/>
    <w:rsid w:val="665F3237"/>
    <w:rsid w:val="66DF1ADB"/>
    <w:rsid w:val="67562B64"/>
    <w:rsid w:val="677117BC"/>
    <w:rsid w:val="6792591A"/>
    <w:rsid w:val="684A6684"/>
    <w:rsid w:val="68906C06"/>
    <w:rsid w:val="68AD48A9"/>
    <w:rsid w:val="68D55385"/>
    <w:rsid w:val="68E35E10"/>
    <w:rsid w:val="68E42158"/>
    <w:rsid w:val="696F5C56"/>
    <w:rsid w:val="698A0CE2"/>
    <w:rsid w:val="69B1510B"/>
    <w:rsid w:val="69BA7286"/>
    <w:rsid w:val="6A8C6D2A"/>
    <w:rsid w:val="6A984F47"/>
    <w:rsid w:val="6AA052F7"/>
    <w:rsid w:val="6B1B1AFD"/>
    <w:rsid w:val="6B2E5CCE"/>
    <w:rsid w:val="6B8B7743"/>
    <w:rsid w:val="6C3F74E7"/>
    <w:rsid w:val="6C9F4AA4"/>
    <w:rsid w:val="6CBE4D1D"/>
    <w:rsid w:val="6D621A70"/>
    <w:rsid w:val="6E65650D"/>
    <w:rsid w:val="6E6E0BD2"/>
    <w:rsid w:val="6E8F2042"/>
    <w:rsid w:val="6EAE18D3"/>
    <w:rsid w:val="6ECC36F7"/>
    <w:rsid w:val="6ED33E82"/>
    <w:rsid w:val="6F0F5FF2"/>
    <w:rsid w:val="6F9974B6"/>
    <w:rsid w:val="708C18BE"/>
    <w:rsid w:val="708C4E46"/>
    <w:rsid w:val="70DA2DDD"/>
    <w:rsid w:val="70FD5322"/>
    <w:rsid w:val="71565614"/>
    <w:rsid w:val="715D415F"/>
    <w:rsid w:val="71B22849"/>
    <w:rsid w:val="71DB6C6A"/>
    <w:rsid w:val="71DE07A9"/>
    <w:rsid w:val="71DF3D1D"/>
    <w:rsid w:val="71EA67C2"/>
    <w:rsid w:val="721750DD"/>
    <w:rsid w:val="72343C73"/>
    <w:rsid w:val="72723B55"/>
    <w:rsid w:val="733670F6"/>
    <w:rsid w:val="735C4093"/>
    <w:rsid w:val="736D4C33"/>
    <w:rsid w:val="73B7697D"/>
    <w:rsid w:val="73D834C2"/>
    <w:rsid w:val="74B60B5F"/>
    <w:rsid w:val="752164DE"/>
    <w:rsid w:val="759E765E"/>
    <w:rsid w:val="762D7C8E"/>
    <w:rsid w:val="763F0241"/>
    <w:rsid w:val="76FB3A46"/>
    <w:rsid w:val="77166AC8"/>
    <w:rsid w:val="775819BF"/>
    <w:rsid w:val="775B43B5"/>
    <w:rsid w:val="787614EB"/>
    <w:rsid w:val="78CD0B6B"/>
    <w:rsid w:val="78DB4C17"/>
    <w:rsid w:val="790960F2"/>
    <w:rsid w:val="793D290D"/>
    <w:rsid w:val="797535A9"/>
    <w:rsid w:val="79EE2A5F"/>
    <w:rsid w:val="7A121826"/>
    <w:rsid w:val="7A606CB1"/>
    <w:rsid w:val="7A7430CC"/>
    <w:rsid w:val="7A75647B"/>
    <w:rsid w:val="7A831F98"/>
    <w:rsid w:val="7AF970CA"/>
    <w:rsid w:val="7B4001FB"/>
    <w:rsid w:val="7B917FA0"/>
    <w:rsid w:val="7C1341A8"/>
    <w:rsid w:val="7C2F0394"/>
    <w:rsid w:val="7C456749"/>
    <w:rsid w:val="7C8E2B44"/>
    <w:rsid w:val="7CFB5D27"/>
    <w:rsid w:val="7F144775"/>
    <w:rsid w:val="7FF604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qFormat="1"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34"/>
    <w:qFormat/>
    <w:uiPriority w:val="9"/>
    <w:pPr>
      <w:widowControl/>
      <w:spacing w:before="100" w:beforeAutospacing="1" w:after="100" w:afterAutospacing="1"/>
      <w:jc w:val="left"/>
      <w:outlineLvl w:val="1"/>
    </w:pPr>
    <w:rPr>
      <w:rFonts w:ascii="宋体" w:hAnsi="宋体" w:cs="宋体"/>
      <w:b/>
      <w:bCs/>
      <w:kern w:val="0"/>
      <w:sz w:val="36"/>
      <w:szCs w:val="36"/>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19"/>
    <w:unhideWhenUsed/>
    <w:qFormat/>
    <w:uiPriority w:val="99"/>
    <w:pPr>
      <w:jc w:val="left"/>
    </w:pPr>
    <w:rPr>
      <w:rFonts w:asciiTheme="minorHAnsi" w:hAnsiTheme="minorHAnsi" w:eastAsiaTheme="minorEastAsia" w:cstheme="minorBidi"/>
      <w:szCs w:val="22"/>
    </w:rPr>
  </w:style>
  <w:style w:type="paragraph" w:styleId="4">
    <w:name w:val="Date"/>
    <w:basedOn w:val="1"/>
    <w:next w:val="1"/>
    <w:link w:val="37"/>
    <w:semiHidden/>
    <w:unhideWhenUsed/>
    <w:qFormat/>
    <w:uiPriority w:val="99"/>
    <w:pPr>
      <w:ind w:left="100" w:leftChars="2500"/>
    </w:pPr>
  </w:style>
  <w:style w:type="paragraph" w:styleId="5">
    <w:name w:val="Balloon Text"/>
    <w:basedOn w:val="1"/>
    <w:link w:val="17"/>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8">
    <w:name w:val="annotation subject"/>
    <w:basedOn w:val="3"/>
    <w:next w:val="3"/>
    <w:link w:val="28"/>
    <w:semiHidden/>
    <w:unhideWhenUsed/>
    <w:qFormat/>
    <w:uiPriority w:val="99"/>
    <w:rPr>
      <w:rFonts w:ascii="Times New Roman" w:hAnsi="Times New Roman" w:eastAsia="宋体" w:cs="Times New Roman"/>
      <w:b/>
      <w:bCs/>
      <w:szCs w:val="24"/>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line number"/>
    <w:basedOn w:val="11"/>
    <w:semiHidden/>
    <w:unhideWhenUsed/>
    <w:qFormat/>
    <w:uiPriority w:val="99"/>
  </w:style>
  <w:style w:type="character" w:styleId="13">
    <w:name w:val="Hyperlink"/>
    <w:basedOn w:val="11"/>
    <w:semiHidden/>
    <w:unhideWhenUsed/>
    <w:qFormat/>
    <w:uiPriority w:val="99"/>
    <w:rPr>
      <w:color w:val="0000FF"/>
      <w:u w:val="single"/>
    </w:rPr>
  </w:style>
  <w:style w:type="character" w:styleId="14">
    <w:name w:val="annotation reference"/>
    <w:basedOn w:val="11"/>
    <w:unhideWhenUsed/>
    <w:qFormat/>
    <w:uiPriority w:val="99"/>
    <w:rPr>
      <w:sz w:val="21"/>
      <w:szCs w:val="21"/>
    </w:rPr>
  </w:style>
  <w:style w:type="character" w:customStyle="1" w:styleId="15">
    <w:name w:val="页眉 字符"/>
    <w:basedOn w:val="11"/>
    <w:link w:val="7"/>
    <w:qFormat/>
    <w:uiPriority w:val="99"/>
    <w:rPr>
      <w:sz w:val="18"/>
      <w:szCs w:val="18"/>
    </w:rPr>
  </w:style>
  <w:style w:type="character" w:customStyle="1" w:styleId="16">
    <w:name w:val="页脚 字符"/>
    <w:basedOn w:val="11"/>
    <w:link w:val="6"/>
    <w:qFormat/>
    <w:uiPriority w:val="99"/>
    <w:rPr>
      <w:sz w:val="18"/>
      <w:szCs w:val="18"/>
    </w:rPr>
  </w:style>
  <w:style w:type="character" w:customStyle="1" w:styleId="17">
    <w:name w:val="批注框文本 字符"/>
    <w:basedOn w:val="11"/>
    <w:link w:val="5"/>
    <w:semiHidden/>
    <w:qFormat/>
    <w:uiPriority w:val="99"/>
    <w:rPr>
      <w:rFonts w:ascii="Times New Roman" w:hAnsi="Times New Roman" w:eastAsia="宋体" w:cs="Times New Roman"/>
      <w:sz w:val="18"/>
      <w:szCs w:val="18"/>
    </w:rPr>
  </w:style>
  <w:style w:type="paragraph" w:styleId="18">
    <w:name w:val="List Paragraph"/>
    <w:basedOn w:val="1"/>
    <w:qFormat/>
    <w:uiPriority w:val="0"/>
    <w:pPr>
      <w:ind w:firstLine="420" w:firstLineChars="200"/>
    </w:pPr>
  </w:style>
  <w:style w:type="character" w:customStyle="1" w:styleId="19">
    <w:name w:val="批注文字 字符"/>
    <w:basedOn w:val="11"/>
    <w:link w:val="3"/>
    <w:qFormat/>
    <w:uiPriority w:val="99"/>
    <w:rPr>
      <w:rFonts w:asciiTheme="minorHAnsi" w:hAnsiTheme="minorHAnsi" w:eastAsiaTheme="minorEastAsia" w:cstheme="minorBidi"/>
      <w:kern w:val="2"/>
      <w:sz w:val="21"/>
      <w:szCs w:val="22"/>
    </w:rPr>
  </w:style>
  <w:style w:type="character" w:customStyle="1" w:styleId="20">
    <w:name w:val="font31"/>
    <w:basedOn w:val="11"/>
    <w:qFormat/>
    <w:uiPriority w:val="0"/>
    <w:rPr>
      <w:rFonts w:hint="default" w:ascii="Times New Roman" w:hAnsi="Times New Roman" w:cs="Times New Roman"/>
      <w:color w:val="000000"/>
      <w:sz w:val="28"/>
      <w:szCs w:val="28"/>
      <w:u w:val="none"/>
    </w:rPr>
  </w:style>
  <w:style w:type="character" w:customStyle="1" w:styleId="21">
    <w:name w:val="font41"/>
    <w:basedOn w:val="11"/>
    <w:qFormat/>
    <w:uiPriority w:val="0"/>
    <w:rPr>
      <w:rFonts w:hint="default" w:ascii="Times New Roman" w:hAnsi="Times New Roman" w:cs="Times New Roman"/>
      <w:color w:val="000000"/>
      <w:sz w:val="18"/>
      <w:szCs w:val="18"/>
      <w:u w:val="none"/>
    </w:rPr>
  </w:style>
  <w:style w:type="character" w:customStyle="1" w:styleId="22">
    <w:name w:val="font11"/>
    <w:basedOn w:val="11"/>
    <w:qFormat/>
    <w:uiPriority w:val="0"/>
    <w:rPr>
      <w:rFonts w:hint="eastAsia" w:ascii="仿宋_GB2312" w:eastAsia="仿宋_GB2312" w:cs="仿宋_GB2312"/>
      <w:color w:val="000000"/>
      <w:sz w:val="28"/>
      <w:szCs w:val="28"/>
      <w:u w:val="none"/>
    </w:rPr>
  </w:style>
  <w:style w:type="character" w:customStyle="1" w:styleId="23">
    <w:name w:val="font51"/>
    <w:basedOn w:val="11"/>
    <w:qFormat/>
    <w:uiPriority w:val="0"/>
    <w:rPr>
      <w:rFonts w:hint="default" w:ascii="Times New Roman" w:hAnsi="Times New Roman" w:cs="Times New Roman"/>
      <w:color w:val="000000"/>
      <w:sz w:val="28"/>
      <w:szCs w:val="28"/>
      <w:u w:val="none"/>
    </w:rPr>
  </w:style>
  <w:style w:type="character" w:customStyle="1" w:styleId="24">
    <w:name w:val="font01"/>
    <w:basedOn w:val="11"/>
    <w:qFormat/>
    <w:uiPriority w:val="0"/>
    <w:rPr>
      <w:rFonts w:hint="eastAsia" w:ascii="仿宋_GB2312" w:eastAsia="仿宋_GB2312" w:cs="仿宋_GB2312"/>
      <w:color w:val="000000"/>
      <w:sz w:val="28"/>
      <w:szCs w:val="28"/>
      <w:u w:val="none"/>
    </w:rPr>
  </w:style>
  <w:style w:type="character" w:customStyle="1" w:styleId="25">
    <w:name w:val="font21"/>
    <w:basedOn w:val="11"/>
    <w:qFormat/>
    <w:uiPriority w:val="0"/>
    <w:rPr>
      <w:rFonts w:hint="default" w:ascii="Times New Roman" w:hAnsi="Times New Roman" w:cs="Times New Roman"/>
      <w:color w:val="000000"/>
      <w:sz w:val="28"/>
      <w:szCs w:val="28"/>
      <w:u w:val="none"/>
    </w:rPr>
  </w:style>
  <w:style w:type="paragraph" w:customStyle="1" w:styleId="26">
    <w:name w:val="Default"/>
    <w:qFormat/>
    <w:uiPriority w:val="0"/>
    <w:pPr>
      <w:widowControl w:val="0"/>
      <w:autoSpaceDE w:val="0"/>
      <w:autoSpaceDN w:val="0"/>
      <w:adjustRightInd w:val="0"/>
    </w:pPr>
    <w:rPr>
      <w:rFonts w:ascii="TradeGothic CondEighteen" w:hAnsi="Times New Roman" w:eastAsia="TradeGothic CondEighteen" w:cs="TradeGothic CondEighteen"/>
      <w:color w:val="000000"/>
      <w:sz w:val="24"/>
      <w:szCs w:val="24"/>
      <w:lang w:val="en-US" w:eastAsia="zh-CN" w:bidi="ar-SA"/>
    </w:rPr>
  </w:style>
  <w:style w:type="character" w:customStyle="1" w:styleId="27">
    <w:name w:val="A0"/>
    <w:qFormat/>
    <w:uiPriority w:val="99"/>
    <w:rPr>
      <w:rFonts w:cs="TradeGothic CondEighteen"/>
      <w:b/>
      <w:bCs/>
      <w:color w:val="FFFFFF"/>
      <w:sz w:val="48"/>
      <w:szCs w:val="48"/>
    </w:rPr>
  </w:style>
  <w:style w:type="character" w:customStyle="1" w:styleId="28">
    <w:name w:val="批注主题 字符"/>
    <w:basedOn w:val="19"/>
    <w:link w:val="8"/>
    <w:semiHidden/>
    <w:qFormat/>
    <w:uiPriority w:val="99"/>
    <w:rPr>
      <w:rFonts w:asciiTheme="minorHAnsi" w:hAnsiTheme="minorHAnsi" w:eastAsiaTheme="minorEastAsia" w:cstheme="minorBidi"/>
      <w:b/>
      <w:bCs/>
      <w:kern w:val="2"/>
      <w:sz w:val="21"/>
      <w:szCs w:val="24"/>
    </w:rPr>
  </w:style>
  <w:style w:type="paragraph" w:customStyle="1" w:styleId="29">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30">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31">
    <w:name w:val="修订3"/>
    <w:hidden/>
    <w:unhideWhenUsed/>
    <w:qFormat/>
    <w:uiPriority w:val="99"/>
    <w:rPr>
      <w:rFonts w:ascii="Times New Roman" w:hAnsi="Times New Roman" w:eastAsia="宋体" w:cs="Times New Roman"/>
      <w:kern w:val="2"/>
      <w:sz w:val="21"/>
      <w:szCs w:val="24"/>
      <w:lang w:val="en-US" w:eastAsia="zh-CN" w:bidi="ar-SA"/>
    </w:rPr>
  </w:style>
  <w:style w:type="paragraph" w:customStyle="1" w:styleId="32">
    <w:name w:val="修订4"/>
    <w:hidden/>
    <w:semiHidden/>
    <w:qFormat/>
    <w:uiPriority w:val="99"/>
    <w:rPr>
      <w:rFonts w:ascii="Times New Roman" w:hAnsi="Times New Roman" w:eastAsia="宋体" w:cs="Times New Roman"/>
      <w:kern w:val="2"/>
      <w:sz w:val="21"/>
      <w:szCs w:val="24"/>
      <w:lang w:val="en-US" w:eastAsia="zh-CN" w:bidi="ar-SA"/>
    </w:rPr>
  </w:style>
  <w:style w:type="character" w:customStyle="1" w:styleId="33">
    <w:name w:val="无"/>
    <w:qFormat/>
    <w:uiPriority w:val="0"/>
  </w:style>
  <w:style w:type="character" w:customStyle="1" w:styleId="34">
    <w:name w:val="标题 2 字符"/>
    <w:basedOn w:val="11"/>
    <w:link w:val="2"/>
    <w:qFormat/>
    <w:uiPriority w:val="9"/>
    <w:rPr>
      <w:rFonts w:ascii="宋体" w:hAnsi="宋体" w:cs="宋体"/>
      <w:b/>
      <w:bCs/>
      <w:sz w:val="36"/>
      <w:szCs w:val="36"/>
    </w:rPr>
  </w:style>
  <w:style w:type="table" w:customStyle="1" w:styleId="35">
    <w:name w:val="网格表 1 浅色1"/>
    <w:basedOn w:val="9"/>
    <w:qFormat/>
    <w:uiPriority w:val="46"/>
    <w:rPr>
      <w:rFonts w:ascii="等线" w:hAnsi="等线" w:eastAsia="等线"/>
      <w:kern w:val="2"/>
      <w:sz w:val="21"/>
      <w:szCs w:val="22"/>
    </w:rPr>
    <w:tblPr>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Pr>
    <w:tblStylePr w:type="firstRow">
      <w:rPr>
        <w:b/>
        <w:bCs/>
      </w:rPr>
      <w:tcPr>
        <w:tcBorders>
          <w:bottom w:val="single" w:color="666666" w:sz="12" w:space="0"/>
        </w:tcBorders>
      </w:tcPr>
    </w:tblStylePr>
    <w:tblStylePr w:type="lastRow">
      <w:rPr>
        <w:b/>
        <w:bCs/>
      </w:rPr>
      <w:tcPr>
        <w:tcBorders>
          <w:top w:val="double" w:color="666666" w:sz="2" w:space="0"/>
        </w:tcBorders>
      </w:tcPr>
    </w:tblStylePr>
    <w:tblStylePr w:type="firstCol">
      <w:rPr>
        <w:b/>
        <w:bCs/>
      </w:rPr>
    </w:tblStylePr>
    <w:tblStylePr w:type="lastCol">
      <w:rPr>
        <w:b/>
        <w:bCs/>
      </w:rPr>
    </w:tblStylePr>
  </w:style>
  <w:style w:type="table" w:customStyle="1" w:styleId="36">
    <w:name w:val="网格表 1 浅色2"/>
    <w:basedOn w:val="9"/>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37">
    <w:name w:val="日期 字符"/>
    <w:basedOn w:val="11"/>
    <w:link w:val="4"/>
    <w:semiHidden/>
    <w:qFormat/>
    <w:uiPriority w:val="99"/>
    <w:rPr>
      <w:kern w:val="2"/>
      <w:sz w:val="21"/>
      <w:szCs w:val="24"/>
    </w:rPr>
  </w:style>
  <w:style w:type="character" w:customStyle="1" w:styleId="38">
    <w:name w:val="fontstyle01"/>
    <w:basedOn w:val="11"/>
    <w:qFormat/>
    <w:uiPriority w:val="0"/>
    <w:rPr>
      <w:rFonts w:hint="eastAsia" w:ascii="仿宋_GB2312" w:eastAsia="仿宋_GB2312"/>
      <w:color w:val="000000"/>
      <w:sz w:val="32"/>
      <w:szCs w:val="32"/>
    </w:rPr>
  </w:style>
  <w:style w:type="character" w:customStyle="1" w:styleId="39">
    <w:name w:val="fontstyle11"/>
    <w:basedOn w:val="11"/>
    <w:qFormat/>
    <w:uiPriority w:val="0"/>
    <w:rPr>
      <w:rFonts w:hint="eastAsia" w:ascii="宋体" w:hAnsi="宋体" w:eastAsia="宋体"/>
      <w:color w:val="000000"/>
      <w:sz w:val="18"/>
      <w:szCs w:val="18"/>
    </w:rPr>
  </w:style>
  <w:style w:type="character" w:customStyle="1" w:styleId="40">
    <w:name w:val="fontstyle21"/>
    <w:basedOn w:val="11"/>
    <w:qFormat/>
    <w:uiPriority w:val="0"/>
    <w:rPr>
      <w:rFonts w:hint="default" w:ascii="Times New Roman" w:hAnsi="Times New Roman" w:cs="Times New Roman"/>
      <w:color w:val="000000"/>
      <w:sz w:val="16"/>
      <w:szCs w:val="16"/>
    </w:rPr>
  </w:style>
  <w:style w:type="paragraph" w:customStyle="1" w:styleId="41">
    <w:name w:val="修订5"/>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E60A55-DB3D-4F23-BA8A-FC7264CAA14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24</Pages>
  <Words>11915</Words>
  <Characters>12599</Characters>
  <Lines>91</Lines>
  <Paragraphs>25</Paragraphs>
  <TotalTime>0</TotalTime>
  <ScaleCrop>false</ScaleCrop>
  <LinksUpToDate>false</LinksUpToDate>
  <CharactersWithSpaces>12619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2025-09-19T01:49:00Z</dcterms:created>
  <dc:creator>enovo</dc:creator>
  <cp:lastModifiedBy>方丽</cp:lastModifiedBy>
  <cp:lastPrinted>2022-10-19T02:39:00Z</cp:lastPrinted>
  <dcterms:modified xsi:type="dcterms:W3CDTF">2025-10-22T07:11:44Z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EC04FA77563B4FE3B7B5EA41AD221264_13</vt:lpwstr>
  </property>
  <property fmtid="{D5CDD505-2E9C-101B-9397-08002B2CF9AE}" pid="4" name="KSOTemplateDocerSaveRecord">
    <vt:lpwstr>eyJoZGlkIjoiY2EyNWZlYjcxMzA4MWExZWQ1Mjg5Njg5N2I3MjcxNjkiLCJ1c2VySWQiOiI0Njc3ODYwNTcifQ==</vt:lpwstr>
  </property>
</Properties>
</file>